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宋体" w:cs="Times New Roman"/>
          <w:sz w:val="72"/>
          <w:szCs w:val="72"/>
        </w:rPr>
      </w:pPr>
    </w:p>
    <w:p>
      <w:pPr>
        <w:adjustRightInd w:val="0"/>
        <w:snapToGrid w:val="0"/>
        <w:spacing w:line="360" w:lineRule="auto"/>
        <w:jc w:val="center"/>
        <w:outlineLvl w:val="0"/>
        <w:rPr>
          <w:rFonts w:ascii="Times New Roman" w:hAnsi="Times New Roman" w:eastAsia="宋体" w:cs="Times New Roman"/>
          <w:sz w:val="72"/>
          <w:szCs w:val="72"/>
        </w:rPr>
      </w:pPr>
      <w:bookmarkStart w:id="0" w:name="_Toc20128"/>
      <w:bookmarkStart w:id="1" w:name="_Toc28573"/>
      <w:r>
        <w:rPr>
          <w:rFonts w:ascii="Times New Roman" w:hAnsi="Times New Roman" w:eastAsia="宋体" w:cs="Times New Roman"/>
          <w:sz w:val="72"/>
          <w:szCs w:val="72"/>
        </w:rPr>
        <w:t>建设项目环境影响报告表</w:t>
      </w:r>
      <w:bookmarkEnd w:id="0"/>
      <w:bookmarkEnd w:id="1"/>
    </w:p>
    <w:p>
      <w:pPr>
        <w:adjustRightInd w:val="0"/>
        <w:snapToGrid w:val="0"/>
        <w:spacing w:line="360" w:lineRule="auto"/>
        <w:jc w:val="center"/>
        <w:rPr>
          <w:rFonts w:ascii="Times New Roman" w:hAnsi="Times New Roman" w:eastAsia="宋体" w:cs="Times New Roman"/>
          <w:sz w:val="48"/>
          <w:szCs w:val="48"/>
        </w:rPr>
      </w:pPr>
      <w:r>
        <w:rPr>
          <w:rFonts w:ascii="Times New Roman" w:hAnsi="Times New Roman" w:eastAsia="宋体" w:cs="Times New Roman"/>
          <w:sz w:val="48"/>
          <w:szCs w:val="48"/>
        </w:rPr>
        <w:t>（污染影响类/</w:t>
      </w:r>
      <w:r>
        <w:rPr>
          <w:rFonts w:hint="eastAsia" w:ascii="Times New Roman" w:hAnsi="Times New Roman" w:eastAsia="宋体" w:cs="Times New Roman"/>
          <w:sz w:val="48"/>
          <w:szCs w:val="48"/>
        </w:rPr>
        <w:t>公示稿</w:t>
      </w:r>
      <w:r>
        <w:rPr>
          <w:rFonts w:ascii="Times New Roman" w:hAnsi="Times New Roman" w:eastAsia="宋体" w:cs="Times New Roman"/>
          <w:sz w:val="48"/>
          <w:szCs w:val="48"/>
        </w:rPr>
        <w:t>）</w:t>
      </w:r>
    </w:p>
    <w:p>
      <w:pPr>
        <w:adjustRightInd w:val="0"/>
        <w:snapToGrid w:val="0"/>
        <w:spacing w:line="360" w:lineRule="auto"/>
        <w:jc w:val="center"/>
        <w:rPr>
          <w:rFonts w:ascii="Times New Roman" w:hAnsi="Times New Roman" w:eastAsia="宋体" w:cs="Times New Roman"/>
        </w:rPr>
      </w:pPr>
    </w:p>
    <w:p>
      <w:pPr>
        <w:spacing w:line="360" w:lineRule="auto"/>
        <w:rPr>
          <w:rFonts w:ascii="Times New Roman" w:hAnsi="Times New Roman" w:eastAsia="宋体" w:cs="Times New Roman"/>
        </w:rPr>
      </w:pPr>
    </w:p>
    <w:p>
      <w:pPr>
        <w:spacing w:line="360" w:lineRule="auto"/>
        <w:rPr>
          <w:rFonts w:ascii="Times New Roman" w:hAnsi="Times New Roman" w:eastAsia="宋体" w:cs="Times New Roman"/>
        </w:rPr>
      </w:pPr>
    </w:p>
    <w:p>
      <w:pPr>
        <w:spacing w:line="360" w:lineRule="auto"/>
        <w:rPr>
          <w:rFonts w:ascii="Times New Roman" w:hAnsi="Times New Roman" w:eastAsia="宋体" w:cs="Times New Roman"/>
        </w:rPr>
      </w:pPr>
    </w:p>
    <w:p>
      <w:pPr>
        <w:spacing w:line="360" w:lineRule="auto"/>
        <w:rPr>
          <w:rFonts w:ascii="Times New Roman" w:hAnsi="Times New Roman" w:eastAsia="宋体" w:cs="Times New Roman"/>
        </w:rPr>
      </w:pPr>
    </w:p>
    <w:p>
      <w:pPr>
        <w:spacing w:line="360" w:lineRule="auto"/>
        <w:rPr>
          <w:rFonts w:ascii="Times New Roman" w:hAnsi="Times New Roman" w:eastAsia="宋体" w:cs="Times New Roman"/>
          <w:b/>
          <w:bCs/>
        </w:rPr>
      </w:pPr>
    </w:p>
    <w:p>
      <w:pPr>
        <w:spacing w:line="360" w:lineRule="auto"/>
        <w:rPr>
          <w:rFonts w:ascii="Times New Roman" w:hAnsi="Times New Roman" w:eastAsia="宋体" w:cs="Times New Roman"/>
          <w:b/>
          <w:bCs/>
        </w:rPr>
      </w:pPr>
    </w:p>
    <w:p>
      <w:pPr>
        <w:rPr>
          <w:rFonts w:ascii="Times New Roman" w:hAnsi="Times New Roman" w:eastAsia="宋体" w:cs="Times New Roman"/>
          <w:sz w:val="28"/>
          <w:szCs w:val="36"/>
        </w:rPr>
      </w:pPr>
      <w:bookmarkStart w:id="2" w:name="_Toc11138"/>
      <w:r>
        <w:rPr>
          <w:rFonts w:ascii="Times New Roman" w:hAnsi="Times New Roman" w:eastAsia="宋体" w:cs="Times New Roman"/>
          <w:b/>
          <w:bCs/>
          <w:sz w:val="28"/>
          <w:szCs w:val="36"/>
        </w:rPr>
        <w:t>项目名称：</w:t>
      </w:r>
      <w:r>
        <w:rPr>
          <w:rFonts w:ascii="Times New Roman" w:hAnsi="Times New Roman" w:eastAsia="宋体" w:cs="Times New Roman"/>
          <w:sz w:val="28"/>
          <w:szCs w:val="36"/>
          <w:u w:val="single"/>
        </w:rPr>
        <w:t xml:space="preserve">       </w:t>
      </w:r>
      <w:bookmarkEnd w:id="2"/>
      <w:r>
        <w:rPr>
          <w:rFonts w:hint="eastAsia" w:ascii="Times New Roman" w:hAnsi="Times New Roman" w:eastAsia="宋体" w:cs="Times New Roman"/>
          <w:sz w:val="28"/>
          <w:szCs w:val="36"/>
          <w:u w:val="single"/>
        </w:rPr>
        <w:t>云县山河沙、石加工建设项目</w:t>
      </w:r>
      <w:r>
        <w:rPr>
          <w:rFonts w:ascii="Times New Roman" w:hAnsi="Times New Roman" w:eastAsia="宋体" w:cs="Times New Roman"/>
          <w:sz w:val="28"/>
          <w:szCs w:val="36"/>
          <w:u w:val="single"/>
        </w:rPr>
        <w:t xml:space="preserve">       </w:t>
      </w:r>
    </w:p>
    <w:p>
      <w:pPr>
        <w:spacing w:line="360" w:lineRule="auto"/>
        <w:rPr>
          <w:rFonts w:ascii="Times New Roman" w:hAnsi="Times New Roman" w:eastAsia="宋体" w:cs="Times New Roman"/>
          <w:b/>
          <w:bCs/>
          <w:sz w:val="28"/>
          <w:szCs w:val="28"/>
          <w:u w:val="single"/>
        </w:rPr>
      </w:pPr>
      <w:r>
        <w:rPr>
          <w:rFonts w:ascii="Times New Roman" w:hAnsi="Times New Roman" w:eastAsia="宋体" w:cs="Times New Roman"/>
          <w:b/>
          <w:bCs/>
          <w:sz w:val="28"/>
          <w:szCs w:val="28"/>
        </w:rPr>
        <w:t>建设单位（盖章）：</w:t>
      </w:r>
      <w:r>
        <w:rPr>
          <w:rFonts w:ascii="Times New Roman" w:hAnsi="Times New Roman" w:eastAsia="宋体" w:cs="Times New Roman"/>
          <w:sz w:val="28"/>
          <w:szCs w:val="28"/>
          <w:u w:val="single"/>
        </w:rPr>
        <w:t xml:space="preserve"> </w:t>
      </w:r>
      <w:r>
        <w:rPr>
          <w:rFonts w:hint="eastAsia" w:ascii="Times New Roman" w:hAnsi="Times New Roman" w:eastAsia="宋体" w:cs="Times New Roman"/>
          <w:sz w:val="28"/>
          <w:szCs w:val="28"/>
          <w:u w:val="single"/>
        </w:rPr>
        <w:t>临沧山河矿业有限公司</w:t>
      </w:r>
      <w:r>
        <w:rPr>
          <w:rFonts w:ascii="Times New Roman" w:hAnsi="Times New Roman" w:eastAsia="宋体" w:cs="Times New Roman"/>
          <w:sz w:val="28"/>
          <w:szCs w:val="28"/>
          <w:u w:val="single"/>
        </w:rPr>
        <w:t xml:space="preserve"> </w:t>
      </w:r>
    </w:p>
    <w:p>
      <w:pPr>
        <w:spacing w:line="360" w:lineRule="auto"/>
        <w:rPr>
          <w:rFonts w:ascii="Times New Roman" w:hAnsi="Times New Roman" w:eastAsia="宋体" w:cs="Times New Roman"/>
          <w:sz w:val="18"/>
          <w:szCs w:val="21"/>
          <w:u w:val="single"/>
        </w:rPr>
      </w:pPr>
      <w:r>
        <w:rPr>
          <w:rFonts w:ascii="Times New Roman" w:hAnsi="Times New Roman" w:eastAsia="宋体" w:cs="Times New Roman"/>
          <w:b/>
          <w:bCs/>
          <w:sz w:val="28"/>
          <w:szCs w:val="28"/>
        </w:rPr>
        <w:t>编制日期：</w:t>
      </w:r>
      <w:r>
        <w:rPr>
          <w:rFonts w:ascii="Times New Roman" w:hAnsi="Times New Roman" w:eastAsia="宋体" w:cs="Times New Roman"/>
          <w:sz w:val="28"/>
          <w:szCs w:val="28"/>
          <w:u w:val="single"/>
        </w:rPr>
        <w:t xml:space="preserve">         2023年</w:t>
      </w:r>
      <w:r>
        <w:rPr>
          <w:rFonts w:hint="eastAsia" w:ascii="Times New Roman" w:hAnsi="Times New Roman" w:eastAsia="宋体" w:cs="Times New Roman"/>
          <w:sz w:val="28"/>
          <w:szCs w:val="28"/>
          <w:u w:val="single"/>
        </w:rPr>
        <w:t>12</w:t>
      </w:r>
      <w:r>
        <w:rPr>
          <w:rFonts w:ascii="Times New Roman" w:hAnsi="Times New Roman" w:eastAsia="宋体" w:cs="Times New Roman"/>
          <w:sz w:val="28"/>
          <w:szCs w:val="28"/>
          <w:u w:val="single"/>
        </w:rPr>
        <w:t xml:space="preserve">月           </w:t>
      </w:r>
    </w:p>
    <w:p>
      <w:pPr>
        <w:spacing w:line="360" w:lineRule="auto"/>
        <w:rPr>
          <w:rFonts w:ascii="Times New Roman" w:hAnsi="Times New Roman" w:eastAsia="宋体" w:cs="Times New Roman"/>
          <w:b/>
          <w:bCs/>
          <w:sz w:val="18"/>
          <w:szCs w:val="21"/>
        </w:rPr>
      </w:pPr>
    </w:p>
    <w:p>
      <w:pPr>
        <w:spacing w:line="360" w:lineRule="auto"/>
        <w:rPr>
          <w:rFonts w:ascii="Times New Roman" w:hAnsi="Times New Roman" w:eastAsia="宋体" w:cs="Times New Roman"/>
          <w:b/>
          <w:bCs/>
        </w:rPr>
      </w:pPr>
    </w:p>
    <w:p>
      <w:pPr>
        <w:pStyle w:val="41"/>
        <w:ind w:firstLine="413"/>
        <w:jc w:val="both"/>
        <w:rPr>
          <w:rFonts w:ascii="Times New Roman" w:hAnsi="Times New Roman" w:cs="Times New Roman"/>
          <w:b/>
          <w:bCs/>
        </w:rPr>
      </w:pPr>
    </w:p>
    <w:p>
      <w:pPr>
        <w:pStyle w:val="43"/>
        <w:ind w:firstLine="562"/>
        <w:rPr>
          <w:b/>
          <w:bCs/>
        </w:rPr>
      </w:pPr>
    </w:p>
    <w:p>
      <w:pPr>
        <w:pStyle w:val="43"/>
        <w:ind w:firstLine="562"/>
        <w:rPr>
          <w:b/>
          <w:bCs/>
        </w:rPr>
      </w:pPr>
    </w:p>
    <w:p>
      <w:pPr>
        <w:spacing w:line="360" w:lineRule="auto"/>
        <w:rPr>
          <w:rFonts w:ascii="Times New Roman" w:hAnsi="Times New Roman" w:eastAsia="宋体" w:cs="Times New Roman"/>
          <w:b/>
          <w:bCs/>
        </w:rPr>
      </w:pPr>
    </w:p>
    <w:p>
      <w:pPr>
        <w:spacing w:line="360" w:lineRule="auto"/>
        <w:rPr>
          <w:rFonts w:ascii="Times New Roman" w:hAnsi="Times New Roman" w:eastAsia="宋体" w:cs="Times New Roman"/>
          <w:b/>
          <w:bCs/>
        </w:rPr>
      </w:pPr>
    </w:p>
    <w:p>
      <w:pPr>
        <w:jc w:val="center"/>
        <w:rPr>
          <w:rFonts w:ascii="Times New Roman" w:hAnsi="Times New Roman" w:eastAsia="宋体" w:cs="Times New Roman"/>
          <w:b/>
          <w:bCs/>
          <w:sz w:val="36"/>
          <w:szCs w:val="36"/>
        </w:rPr>
      </w:pPr>
      <w:bookmarkStart w:id="3" w:name="_Toc639"/>
      <w:r>
        <w:rPr>
          <w:rFonts w:ascii="Times New Roman" w:hAnsi="Times New Roman" w:eastAsia="宋体" w:cs="Times New Roman"/>
          <w:b/>
          <w:bCs/>
          <w:sz w:val="36"/>
          <w:szCs w:val="36"/>
        </w:rPr>
        <w:t>中华人民共和国生态环境部制</w:t>
      </w:r>
      <w:bookmarkEnd w:id="3"/>
    </w:p>
    <w:p>
      <w:pPr>
        <w:rPr>
          <w:rFonts w:ascii="Times New Roman" w:hAnsi="Times New Roman" w:eastAsia="宋体" w:cs="Times New Roman"/>
          <w:sz w:val="36"/>
          <w:szCs w:val="36"/>
        </w:rPr>
      </w:pPr>
      <w:r>
        <w:rPr>
          <w:rFonts w:ascii="Times New Roman" w:hAnsi="Times New Roman" w:eastAsia="宋体" w:cs="Times New Roman"/>
          <w:sz w:val="36"/>
          <w:szCs w:val="36"/>
        </w:rPr>
        <w:br w:type="page"/>
      </w:r>
    </w:p>
    <w:sdt>
      <w:sdtPr>
        <w:rPr>
          <w:rFonts w:ascii="Times New Roman" w:hAnsi="Times New Roman" w:eastAsia="宋体" w:cs="Times New Roman"/>
        </w:rPr>
        <w:id w:val="147465376"/>
        <w15:color w:val="DBDBDB"/>
        <w:docPartObj>
          <w:docPartGallery w:val="Table of Contents"/>
          <w:docPartUnique/>
        </w:docPartObj>
      </w:sdtPr>
      <w:sdtEndPr>
        <w:rPr>
          <w:rFonts w:ascii="Times New Roman" w:hAnsi="Times New Roman" w:eastAsia="宋体" w:cs="Times New Roman"/>
        </w:rPr>
      </w:sdtEndPr>
      <w:sdtContent>
        <w:p>
          <w:pPr>
            <w:jc w:val="center"/>
            <w:rPr>
              <w:rFonts w:ascii="Times New Roman" w:hAnsi="Times New Roman" w:eastAsia="宋体" w:cs="Times New Roman"/>
              <w:b/>
              <w:bCs/>
              <w:sz w:val="28"/>
              <w:szCs w:val="28"/>
            </w:rPr>
          </w:pPr>
          <w:r>
            <w:rPr>
              <w:rFonts w:ascii="Times New Roman" w:hAnsi="Times New Roman" w:eastAsia="宋体" w:cs="Times New Roman"/>
              <w:b/>
              <w:bCs/>
              <w:sz w:val="28"/>
              <w:szCs w:val="28"/>
            </w:rPr>
            <w:t>目录</w:t>
          </w:r>
        </w:p>
        <w:p>
          <w:pPr>
            <w:pStyle w:val="22"/>
            <w:tabs>
              <w:tab w:val="right" w:leader="dot" w:pos="8306"/>
            </w:tabs>
            <w:spacing w:line="480" w:lineRule="auto"/>
            <w:rPr>
              <w:sz w:val="24"/>
              <w:szCs w:val="32"/>
            </w:rPr>
          </w:pP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TOC \o "1-1" \h \u </w:instrText>
          </w:r>
          <w:r>
            <w:rPr>
              <w:rFonts w:ascii="Times New Roman" w:hAnsi="Times New Roman" w:eastAsia="宋体" w:cs="Times New Roman"/>
              <w:sz w:val="28"/>
              <w:szCs w:val="28"/>
            </w:rPr>
            <w:fldChar w:fldCharType="separate"/>
          </w:r>
          <w:r>
            <w:fldChar w:fldCharType="begin"/>
          </w:r>
          <w:r>
            <w:instrText xml:space="preserve"> HYPERLINK \l "_Toc31294" </w:instrText>
          </w:r>
          <w:r>
            <w:fldChar w:fldCharType="separate"/>
          </w:r>
          <w:r>
            <w:rPr>
              <w:rFonts w:ascii="Times New Roman" w:hAnsi="Times New Roman" w:eastAsia="宋体" w:cs="Times New Roman"/>
              <w:sz w:val="24"/>
              <w:szCs w:val="32"/>
            </w:rPr>
            <w:t>一、建设项目基本情况</w:t>
          </w:r>
          <w:r>
            <w:rPr>
              <w:sz w:val="24"/>
              <w:szCs w:val="32"/>
            </w:rPr>
            <w:tab/>
          </w:r>
          <w:r>
            <w:rPr>
              <w:sz w:val="24"/>
              <w:szCs w:val="32"/>
            </w:rPr>
            <w:fldChar w:fldCharType="begin"/>
          </w:r>
          <w:r>
            <w:rPr>
              <w:sz w:val="24"/>
              <w:szCs w:val="32"/>
            </w:rPr>
            <w:instrText xml:space="preserve"> PAGEREF _Toc31294 \h </w:instrText>
          </w:r>
          <w:r>
            <w:rPr>
              <w:sz w:val="24"/>
              <w:szCs w:val="32"/>
            </w:rPr>
            <w:fldChar w:fldCharType="separate"/>
          </w:r>
          <w:r>
            <w:rPr>
              <w:sz w:val="24"/>
              <w:szCs w:val="32"/>
            </w:rPr>
            <w:t>1</w:t>
          </w:r>
          <w:r>
            <w:rPr>
              <w:sz w:val="24"/>
              <w:szCs w:val="32"/>
            </w:rPr>
            <w:fldChar w:fldCharType="end"/>
          </w:r>
          <w:r>
            <w:rPr>
              <w:sz w:val="24"/>
              <w:szCs w:val="32"/>
            </w:rPr>
            <w:fldChar w:fldCharType="end"/>
          </w:r>
        </w:p>
        <w:p>
          <w:pPr>
            <w:pStyle w:val="22"/>
            <w:tabs>
              <w:tab w:val="right" w:leader="dot" w:pos="8306"/>
            </w:tabs>
            <w:spacing w:line="480" w:lineRule="auto"/>
            <w:rPr>
              <w:sz w:val="24"/>
              <w:szCs w:val="32"/>
            </w:rPr>
          </w:pPr>
          <w:r>
            <w:fldChar w:fldCharType="begin"/>
          </w:r>
          <w:r>
            <w:instrText xml:space="preserve"> HYPERLINK \l "_Toc24235" </w:instrText>
          </w:r>
          <w:r>
            <w:fldChar w:fldCharType="separate"/>
          </w:r>
          <w:r>
            <w:rPr>
              <w:rFonts w:ascii="Times New Roman" w:hAnsi="Times New Roman" w:eastAsia="宋体" w:cs="Times New Roman"/>
              <w:sz w:val="24"/>
              <w:szCs w:val="32"/>
            </w:rPr>
            <w:t>二、建设项目工程分析</w:t>
          </w:r>
          <w:r>
            <w:rPr>
              <w:sz w:val="24"/>
              <w:szCs w:val="32"/>
            </w:rPr>
            <w:tab/>
          </w:r>
          <w:r>
            <w:rPr>
              <w:sz w:val="24"/>
              <w:szCs w:val="32"/>
            </w:rPr>
            <w:fldChar w:fldCharType="begin"/>
          </w:r>
          <w:r>
            <w:rPr>
              <w:sz w:val="24"/>
              <w:szCs w:val="32"/>
            </w:rPr>
            <w:instrText xml:space="preserve"> PAGEREF _Toc24235 \h </w:instrText>
          </w:r>
          <w:r>
            <w:rPr>
              <w:sz w:val="24"/>
              <w:szCs w:val="32"/>
            </w:rPr>
            <w:fldChar w:fldCharType="separate"/>
          </w:r>
          <w:r>
            <w:rPr>
              <w:sz w:val="24"/>
              <w:szCs w:val="32"/>
            </w:rPr>
            <w:t>12</w:t>
          </w:r>
          <w:r>
            <w:rPr>
              <w:sz w:val="24"/>
              <w:szCs w:val="32"/>
            </w:rPr>
            <w:fldChar w:fldCharType="end"/>
          </w:r>
          <w:r>
            <w:rPr>
              <w:sz w:val="24"/>
              <w:szCs w:val="32"/>
            </w:rPr>
            <w:fldChar w:fldCharType="end"/>
          </w:r>
        </w:p>
        <w:p>
          <w:pPr>
            <w:pStyle w:val="22"/>
            <w:tabs>
              <w:tab w:val="right" w:leader="dot" w:pos="8306"/>
            </w:tabs>
            <w:spacing w:line="480" w:lineRule="auto"/>
            <w:rPr>
              <w:sz w:val="24"/>
              <w:szCs w:val="32"/>
            </w:rPr>
          </w:pPr>
          <w:r>
            <w:fldChar w:fldCharType="begin"/>
          </w:r>
          <w:r>
            <w:instrText xml:space="preserve"> HYPERLINK \l "_Toc16987" </w:instrText>
          </w:r>
          <w:r>
            <w:fldChar w:fldCharType="separate"/>
          </w:r>
          <w:r>
            <w:rPr>
              <w:rFonts w:ascii="Times New Roman" w:hAnsi="Times New Roman" w:eastAsia="宋体" w:cs="Times New Roman"/>
              <w:sz w:val="24"/>
              <w:szCs w:val="32"/>
            </w:rPr>
            <w:t>三、区域环境质量现状、环境保护目标及评价标准</w:t>
          </w:r>
          <w:r>
            <w:rPr>
              <w:sz w:val="24"/>
              <w:szCs w:val="32"/>
            </w:rPr>
            <w:tab/>
          </w:r>
          <w:r>
            <w:rPr>
              <w:sz w:val="24"/>
              <w:szCs w:val="32"/>
            </w:rPr>
            <w:fldChar w:fldCharType="begin"/>
          </w:r>
          <w:r>
            <w:rPr>
              <w:sz w:val="24"/>
              <w:szCs w:val="32"/>
            </w:rPr>
            <w:instrText xml:space="preserve"> PAGEREF _Toc16987 \h </w:instrText>
          </w:r>
          <w:r>
            <w:rPr>
              <w:sz w:val="24"/>
              <w:szCs w:val="32"/>
            </w:rPr>
            <w:fldChar w:fldCharType="separate"/>
          </w:r>
          <w:r>
            <w:rPr>
              <w:sz w:val="24"/>
              <w:szCs w:val="32"/>
            </w:rPr>
            <w:t>21</w:t>
          </w:r>
          <w:r>
            <w:rPr>
              <w:sz w:val="24"/>
              <w:szCs w:val="32"/>
            </w:rPr>
            <w:fldChar w:fldCharType="end"/>
          </w:r>
          <w:r>
            <w:rPr>
              <w:sz w:val="24"/>
              <w:szCs w:val="32"/>
            </w:rPr>
            <w:fldChar w:fldCharType="end"/>
          </w:r>
        </w:p>
        <w:p>
          <w:pPr>
            <w:pStyle w:val="22"/>
            <w:tabs>
              <w:tab w:val="right" w:leader="dot" w:pos="8306"/>
            </w:tabs>
            <w:spacing w:line="480" w:lineRule="auto"/>
            <w:rPr>
              <w:sz w:val="24"/>
              <w:szCs w:val="32"/>
            </w:rPr>
          </w:pPr>
          <w:r>
            <w:fldChar w:fldCharType="begin"/>
          </w:r>
          <w:r>
            <w:instrText xml:space="preserve"> HYPERLINK \l "_Toc16068" </w:instrText>
          </w:r>
          <w:r>
            <w:fldChar w:fldCharType="separate"/>
          </w:r>
          <w:r>
            <w:rPr>
              <w:rFonts w:ascii="Times New Roman" w:hAnsi="Times New Roman" w:eastAsia="宋体" w:cs="Times New Roman"/>
              <w:sz w:val="24"/>
              <w:szCs w:val="32"/>
            </w:rPr>
            <w:t>四、主要环境影响和保护措施</w:t>
          </w:r>
          <w:r>
            <w:rPr>
              <w:sz w:val="24"/>
              <w:szCs w:val="32"/>
            </w:rPr>
            <w:tab/>
          </w:r>
          <w:r>
            <w:rPr>
              <w:sz w:val="24"/>
              <w:szCs w:val="32"/>
            </w:rPr>
            <w:fldChar w:fldCharType="begin"/>
          </w:r>
          <w:r>
            <w:rPr>
              <w:sz w:val="24"/>
              <w:szCs w:val="32"/>
            </w:rPr>
            <w:instrText xml:space="preserve"> PAGEREF _Toc16068 \h </w:instrText>
          </w:r>
          <w:r>
            <w:rPr>
              <w:sz w:val="24"/>
              <w:szCs w:val="32"/>
            </w:rPr>
            <w:fldChar w:fldCharType="separate"/>
          </w:r>
          <w:r>
            <w:rPr>
              <w:sz w:val="24"/>
              <w:szCs w:val="32"/>
            </w:rPr>
            <w:t>26</w:t>
          </w:r>
          <w:r>
            <w:rPr>
              <w:sz w:val="24"/>
              <w:szCs w:val="32"/>
            </w:rPr>
            <w:fldChar w:fldCharType="end"/>
          </w:r>
          <w:r>
            <w:rPr>
              <w:sz w:val="24"/>
              <w:szCs w:val="32"/>
            </w:rPr>
            <w:fldChar w:fldCharType="end"/>
          </w:r>
        </w:p>
        <w:p>
          <w:pPr>
            <w:pStyle w:val="22"/>
            <w:tabs>
              <w:tab w:val="right" w:leader="dot" w:pos="8306"/>
            </w:tabs>
            <w:spacing w:line="480" w:lineRule="auto"/>
            <w:rPr>
              <w:sz w:val="24"/>
              <w:szCs w:val="32"/>
            </w:rPr>
          </w:pPr>
          <w:r>
            <w:fldChar w:fldCharType="begin"/>
          </w:r>
          <w:r>
            <w:instrText xml:space="preserve"> HYPERLINK \l "_Toc13773" </w:instrText>
          </w:r>
          <w:r>
            <w:fldChar w:fldCharType="separate"/>
          </w:r>
          <w:r>
            <w:rPr>
              <w:rFonts w:ascii="Times New Roman" w:hAnsi="Times New Roman" w:eastAsia="宋体" w:cs="Times New Roman"/>
              <w:sz w:val="24"/>
              <w:szCs w:val="32"/>
            </w:rPr>
            <w:t>五、环境保护措施监督检查清单</w:t>
          </w:r>
          <w:r>
            <w:rPr>
              <w:sz w:val="24"/>
              <w:szCs w:val="32"/>
            </w:rPr>
            <w:tab/>
          </w:r>
          <w:r>
            <w:rPr>
              <w:sz w:val="24"/>
              <w:szCs w:val="32"/>
            </w:rPr>
            <w:fldChar w:fldCharType="begin"/>
          </w:r>
          <w:r>
            <w:rPr>
              <w:sz w:val="24"/>
              <w:szCs w:val="32"/>
            </w:rPr>
            <w:instrText xml:space="preserve"> PAGEREF _Toc13773 \h </w:instrText>
          </w:r>
          <w:r>
            <w:rPr>
              <w:sz w:val="24"/>
              <w:szCs w:val="32"/>
            </w:rPr>
            <w:fldChar w:fldCharType="separate"/>
          </w:r>
          <w:r>
            <w:rPr>
              <w:sz w:val="24"/>
              <w:szCs w:val="32"/>
            </w:rPr>
            <w:t>56</w:t>
          </w:r>
          <w:r>
            <w:rPr>
              <w:sz w:val="24"/>
              <w:szCs w:val="32"/>
            </w:rPr>
            <w:fldChar w:fldCharType="end"/>
          </w:r>
          <w:r>
            <w:rPr>
              <w:sz w:val="24"/>
              <w:szCs w:val="32"/>
            </w:rPr>
            <w:fldChar w:fldCharType="end"/>
          </w:r>
        </w:p>
        <w:p>
          <w:pPr>
            <w:pStyle w:val="22"/>
            <w:tabs>
              <w:tab w:val="right" w:leader="dot" w:pos="8306"/>
            </w:tabs>
            <w:spacing w:line="480" w:lineRule="auto"/>
            <w:rPr>
              <w:sz w:val="24"/>
              <w:szCs w:val="32"/>
            </w:rPr>
          </w:pPr>
          <w:r>
            <w:fldChar w:fldCharType="begin"/>
          </w:r>
          <w:r>
            <w:instrText xml:space="preserve"> HYPERLINK \l "_Toc9171" </w:instrText>
          </w:r>
          <w:r>
            <w:fldChar w:fldCharType="separate"/>
          </w:r>
          <w:r>
            <w:rPr>
              <w:rFonts w:ascii="Times New Roman" w:hAnsi="Times New Roman" w:eastAsia="宋体" w:cs="Times New Roman"/>
              <w:sz w:val="24"/>
              <w:szCs w:val="32"/>
            </w:rPr>
            <w:t>六、结论</w:t>
          </w:r>
          <w:r>
            <w:rPr>
              <w:sz w:val="24"/>
              <w:szCs w:val="32"/>
            </w:rPr>
            <w:tab/>
          </w:r>
          <w:r>
            <w:rPr>
              <w:sz w:val="24"/>
              <w:szCs w:val="32"/>
            </w:rPr>
            <w:fldChar w:fldCharType="begin"/>
          </w:r>
          <w:r>
            <w:rPr>
              <w:sz w:val="24"/>
              <w:szCs w:val="32"/>
            </w:rPr>
            <w:instrText xml:space="preserve"> PAGEREF _Toc9171 \h </w:instrText>
          </w:r>
          <w:r>
            <w:rPr>
              <w:sz w:val="24"/>
              <w:szCs w:val="32"/>
            </w:rPr>
            <w:fldChar w:fldCharType="separate"/>
          </w:r>
          <w:r>
            <w:rPr>
              <w:sz w:val="24"/>
              <w:szCs w:val="32"/>
            </w:rPr>
            <w:t>58</w:t>
          </w:r>
          <w:r>
            <w:rPr>
              <w:sz w:val="24"/>
              <w:szCs w:val="32"/>
            </w:rPr>
            <w:fldChar w:fldCharType="end"/>
          </w:r>
          <w:r>
            <w:rPr>
              <w:sz w:val="24"/>
              <w:szCs w:val="32"/>
            </w:rPr>
            <w:fldChar w:fldCharType="end"/>
          </w:r>
        </w:p>
        <w:p>
          <w:pPr>
            <w:pStyle w:val="22"/>
            <w:tabs>
              <w:tab w:val="right" w:leader="dot" w:pos="8306"/>
            </w:tabs>
            <w:spacing w:line="480" w:lineRule="auto"/>
          </w:pPr>
          <w:r>
            <w:fldChar w:fldCharType="begin"/>
          </w:r>
          <w:r>
            <w:instrText xml:space="preserve"> HYPERLINK \l "_Toc22673" </w:instrText>
          </w:r>
          <w:r>
            <w:fldChar w:fldCharType="separate"/>
          </w:r>
          <w:r>
            <w:rPr>
              <w:rFonts w:ascii="Times New Roman" w:hAnsi="Times New Roman" w:eastAsia="宋体" w:cs="Times New Roman"/>
              <w:bCs/>
              <w:sz w:val="24"/>
              <w:szCs w:val="36"/>
            </w:rPr>
            <w:t>附表：</w:t>
          </w:r>
          <w:r>
            <w:rPr>
              <w:sz w:val="24"/>
              <w:szCs w:val="32"/>
            </w:rPr>
            <w:tab/>
          </w:r>
          <w:r>
            <w:rPr>
              <w:sz w:val="24"/>
              <w:szCs w:val="32"/>
            </w:rPr>
            <w:fldChar w:fldCharType="begin"/>
          </w:r>
          <w:r>
            <w:rPr>
              <w:sz w:val="24"/>
              <w:szCs w:val="32"/>
            </w:rPr>
            <w:instrText xml:space="preserve"> PAGEREF _Toc22673 \h </w:instrText>
          </w:r>
          <w:r>
            <w:rPr>
              <w:sz w:val="24"/>
              <w:szCs w:val="32"/>
            </w:rPr>
            <w:fldChar w:fldCharType="separate"/>
          </w:r>
          <w:r>
            <w:rPr>
              <w:sz w:val="24"/>
              <w:szCs w:val="32"/>
            </w:rPr>
            <w:t>59</w:t>
          </w:r>
          <w:r>
            <w:rPr>
              <w:sz w:val="24"/>
              <w:szCs w:val="32"/>
            </w:rPr>
            <w:fldChar w:fldCharType="end"/>
          </w:r>
          <w:r>
            <w:rPr>
              <w:sz w:val="24"/>
              <w:szCs w:val="32"/>
            </w:rPr>
            <w:fldChar w:fldCharType="end"/>
          </w:r>
        </w:p>
        <w:p>
          <w:pPr>
            <w:rPr>
              <w:rFonts w:ascii="Times New Roman" w:hAnsi="Times New Roman" w:eastAsia="宋体" w:cs="Times New Roman"/>
            </w:rPr>
          </w:pPr>
          <w:r>
            <w:rPr>
              <w:rFonts w:ascii="Times New Roman" w:hAnsi="Times New Roman" w:eastAsia="宋体" w:cs="Times New Roman"/>
              <w:szCs w:val="28"/>
            </w:rPr>
            <w:fldChar w:fldCharType="end"/>
          </w:r>
        </w:p>
      </w:sdtContent>
    </w:sdt>
    <w:p>
      <w:pPr>
        <w:pStyle w:val="23"/>
        <w:adjustRightInd w:val="0"/>
        <w:snapToGrid w:val="0"/>
        <w:spacing w:line="360" w:lineRule="auto"/>
        <w:ind w:firstLine="482" w:firstLineChars="200"/>
        <w:rPr>
          <w:rFonts w:ascii="Times New Roman" w:hAnsi="Times New Roman" w:eastAsia="宋体" w:cs="Times New Roman"/>
          <w:sz w:val="24"/>
        </w:rPr>
      </w:pPr>
      <w:r>
        <w:rPr>
          <w:rFonts w:ascii="Times New Roman" w:hAnsi="Times New Roman" w:eastAsia="宋体" w:cs="Times New Roman"/>
          <w:sz w:val="24"/>
        </w:rPr>
        <w:t>附图：</w:t>
      </w:r>
    </w:p>
    <w:p>
      <w:pPr>
        <w:pStyle w:val="24"/>
        <w:ind w:firstLine="480" w:firstLineChars="200"/>
        <w:rPr>
          <w:rFonts w:hint="default" w:ascii="Times New Roman" w:hAnsi="Times New Roman" w:eastAsia="宋体" w:cs="Times New Roman"/>
          <w:bCs/>
          <w:szCs w:val="24"/>
        </w:rPr>
      </w:pPr>
      <w:r>
        <w:rPr>
          <w:rFonts w:hint="default" w:ascii="Times New Roman" w:hAnsi="Times New Roman" w:eastAsia="宋体" w:cs="Times New Roman"/>
          <w:bCs/>
          <w:szCs w:val="24"/>
        </w:rPr>
        <w:t>附图1 项目区地理位置图</w:t>
      </w:r>
    </w:p>
    <w:p>
      <w:pPr>
        <w:pStyle w:val="24"/>
        <w:ind w:firstLine="480" w:firstLineChars="200"/>
        <w:rPr>
          <w:rFonts w:hint="default" w:ascii="Times New Roman" w:hAnsi="Times New Roman" w:eastAsia="宋体" w:cs="Times New Roman"/>
          <w:bCs/>
          <w:szCs w:val="24"/>
        </w:rPr>
      </w:pPr>
      <w:r>
        <w:rPr>
          <w:rFonts w:hint="default" w:ascii="Times New Roman" w:hAnsi="Times New Roman" w:eastAsia="宋体" w:cs="Times New Roman"/>
          <w:bCs/>
          <w:szCs w:val="24"/>
        </w:rPr>
        <w:t>附图2 项目区平面布置示意图</w:t>
      </w:r>
    </w:p>
    <w:p>
      <w:pPr>
        <w:pStyle w:val="24"/>
        <w:ind w:firstLine="480" w:firstLineChars="200"/>
        <w:rPr>
          <w:rFonts w:hint="default" w:ascii="Times New Roman" w:hAnsi="Times New Roman" w:eastAsia="宋体" w:cs="Times New Roman"/>
          <w:bCs/>
          <w:szCs w:val="24"/>
        </w:rPr>
      </w:pPr>
      <w:r>
        <w:rPr>
          <w:rFonts w:hint="default" w:ascii="Times New Roman" w:hAnsi="Times New Roman" w:eastAsia="宋体" w:cs="Times New Roman"/>
          <w:bCs/>
          <w:szCs w:val="24"/>
        </w:rPr>
        <w:t>附图3 项目区水系图</w:t>
      </w:r>
    </w:p>
    <w:p>
      <w:pPr>
        <w:pStyle w:val="24"/>
        <w:ind w:firstLine="480" w:firstLineChars="200"/>
        <w:rPr>
          <w:rFonts w:hint="default" w:ascii="Times New Roman" w:hAnsi="Times New Roman" w:eastAsia="宋体" w:cs="Times New Roman"/>
          <w:bCs/>
          <w:szCs w:val="24"/>
        </w:rPr>
      </w:pPr>
      <w:r>
        <w:rPr>
          <w:rFonts w:hint="default" w:ascii="Times New Roman" w:hAnsi="Times New Roman" w:eastAsia="宋体" w:cs="Times New Roman"/>
          <w:bCs/>
          <w:szCs w:val="24"/>
        </w:rPr>
        <w:t>附图4 项目区周边环境关系图</w:t>
      </w:r>
    </w:p>
    <w:p>
      <w:pPr>
        <w:pStyle w:val="23"/>
        <w:adjustRightInd w:val="0"/>
        <w:snapToGrid w:val="0"/>
        <w:spacing w:line="360" w:lineRule="auto"/>
        <w:ind w:firstLine="482" w:firstLineChars="200"/>
        <w:rPr>
          <w:rFonts w:ascii="Times New Roman" w:hAnsi="Times New Roman" w:eastAsia="宋体" w:cs="Times New Roman"/>
          <w:sz w:val="24"/>
        </w:rPr>
      </w:pPr>
    </w:p>
    <w:p>
      <w:pPr>
        <w:pStyle w:val="23"/>
        <w:adjustRightInd w:val="0"/>
        <w:snapToGrid w:val="0"/>
        <w:spacing w:line="360" w:lineRule="auto"/>
        <w:ind w:firstLine="482" w:firstLineChars="200"/>
        <w:rPr>
          <w:rFonts w:ascii="Times New Roman" w:hAnsi="Times New Roman" w:eastAsia="宋体" w:cs="Times New Roman"/>
          <w:sz w:val="24"/>
        </w:rPr>
      </w:pPr>
      <w:r>
        <w:rPr>
          <w:rFonts w:ascii="Times New Roman" w:hAnsi="Times New Roman" w:eastAsia="宋体" w:cs="Times New Roman"/>
          <w:sz w:val="24"/>
        </w:rPr>
        <w:t>附件：</w:t>
      </w:r>
    </w:p>
    <w:p>
      <w:pPr>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附件1 委托书</w:t>
      </w:r>
    </w:p>
    <w:p>
      <w:pPr>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附件2 投资备案证</w:t>
      </w:r>
    </w:p>
    <w:p>
      <w:pPr>
        <w:adjustRightInd w:val="0"/>
        <w:snapToGrid w:val="0"/>
        <w:spacing w:line="360" w:lineRule="auto"/>
        <w:ind w:firstLine="480" w:firstLineChars="200"/>
        <w:rPr>
          <w:rFonts w:ascii="Times New Roman" w:hAnsi="Times New Roman" w:eastAsia="宋体" w:cs="Times New Roman"/>
          <w:sz w:val="24"/>
        </w:rPr>
      </w:pPr>
      <w:bookmarkStart w:id="4" w:name="_Toc11503"/>
      <w:bookmarkStart w:id="5" w:name="_Toc19655"/>
      <w:bookmarkStart w:id="6" w:name="_Toc23674"/>
      <w:bookmarkStart w:id="7" w:name="_Toc4127"/>
      <w:bookmarkStart w:id="8" w:name="_Toc7737"/>
      <w:bookmarkStart w:id="9" w:name="_Toc13676"/>
      <w:bookmarkStart w:id="10" w:name="_Toc18261"/>
      <w:bookmarkStart w:id="11" w:name="_Toc16760"/>
      <w:bookmarkStart w:id="12" w:name="_Toc30824_WPSOffice_Level1"/>
      <w:bookmarkStart w:id="13" w:name="_Toc23046_WPSOffice_Level1"/>
      <w:bookmarkStart w:id="14" w:name="_Toc17217_WPSOffice_Level1"/>
      <w:r>
        <w:rPr>
          <w:rFonts w:ascii="Times New Roman" w:hAnsi="Times New Roman" w:eastAsia="宋体" w:cs="Times New Roman"/>
          <w:sz w:val="24"/>
        </w:rPr>
        <w:t>附件3</w:t>
      </w:r>
      <w:bookmarkEnd w:id="4"/>
      <w:bookmarkEnd w:id="5"/>
      <w:bookmarkEnd w:id="6"/>
      <w:bookmarkEnd w:id="7"/>
      <w:bookmarkEnd w:id="8"/>
      <w:r>
        <w:rPr>
          <w:rFonts w:ascii="Times New Roman" w:hAnsi="Times New Roman" w:eastAsia="宋体" w:cs="Times New Roman"/>
          <w:sz w:val="24"/>
        </w:rPr>
        <w:t xml:space="preserve"> 营业执照</w:t>
      </w:r>
      <w:bookmarkEnd w:id="9"/>
      <w:bookmarkEnd w:id="10"/>
      <w:bookmarkEnd w:id="11"/>
    </w:p>
    <w:bookmarkEnd w:id="12"/>
    <w:bookmarkEnd w:id="13"/>
    <w:bookmarkEnd w:id="14"/>
    <w:p>
      <w:pPr>
        <w:adjustRightInd w:val="0"/>
        <w:snapToGrid w:val="0"/>
        <w:spacing w:line="360" w:lineRule="auto"/>
        <w:ind w:firstLine="480" w:firstLineChars="200"/>
        <w:rPr>
          <w:rFonts w:ascii="Times New Roman" w:hAnsi="Times New Roman" w:eastAsia="宋体" w:cs="Times New Roman"/>
          <w:sz w:val="24"/>
          <w:szCs w:val="32"/>
        </w:rPr>
      </w:pPr>
      <w:bookmarkStart w:id="15" w:name="_Toc14857"/>
      <w:bookmarkStart w:id="16" w:name="_Toc27510"/>
      <w:r>
        <w:rPr>
          <w:rFonts w:ascii="Times New Roman" w:hAnsi="Times New Roman" w:eastAsia="宋体" w:cs="Times New Roman"/>
          <w:sz w:val="24"/>
          <w:szCs w:val="32"/>
        </w:rPr>
        <w:t xml:space="preserve">附件4 </w:t>
      </w:r>
      <w:r>
        <w:rPr>
          <w:rFonts w:hint="eastAsia" w:ascii="Times New Roman" w:hAnsi="Times New Roman" w:eastAsia="宋体" w:cs="Times New Roman"/>
          <w:sz w:val="24"/>
          <w:szCs w:val="32"/>
        </w:rPr>
        <w:t>不占生态红线证明</w:t>
      </w:r>
    </w:p>
    <w:p>
      <w:pPr>
        <w:adjustRightInd w:val="0"/>
        <w:snapToGrid w:val="0"/>
        <w:spacing w:line="360" w:lineRule="auto"/>
        <w:ind w:firstLine="480" w:firstLineChars="200"/>
        <w:rPr>
          <w:rFonts w:ascii="Times New Roman" w:hAnsi="Times New Roman" w:eastAsia="宋体" w:cs="Times New Roman"/>
          <w:sz w:val="24"/>
          <w:szCs w:val="32"/>
        </w:rPr>
      </w:pPr>
      <w:r>
        <w:rPr>
          <w:rFonts w:ascii="Times New Roman" w:hAnsi="Times New Roman" w:eastAsia="宋体" w:cs="Times New Roman"/>
          <w:sz w:val="24"/>
          <w:szCs w:val="32"/>
        </w:rPr>
        <w:t xml:space="preserve">附件5 </w:t>
      </w:r>
      <w:r>
        <w:rPr>
          <w:rFonts w:hint="eastAsia" w:ascii="Times New Roman" w:hAnsi="Times New Roman" w:eastAsia="宋体" w:cs="Times New Roman"/>
          <w:sz w:val="24"/>
          <w:szCs w:val="32"/>
        </w:rPr>
        <w:t>项目名称变化情况说明</w:t>
      </w:r>
    </w:p>
    <w:p>
      <w:pPr>
        <w:adjustRightInd w:val="0"/>
        <w:snapToGrid w:val="0"/>
        <w:spacing w:line="360" w:lineRule="auto"/>
        <w:ind w:firstLine="480" w:firstLineChars="200"/>
        <w:rPr>
          <w:rFonts w:ascii="Times New Roman" w:hAnsi="Times New Roman" w:eastAsia="宋体" w:cs="Times New Roman"/>
          <w:sz w:val="24"/>
          <w:szCs w:val="32"/>
        </w:rPr>
      </w:pPr>
      <w:r>
        <w:rPr>
          <w:rFonts w:hint="eastAsia" w:ascii="Times New Roman" w:hAnsi="Times New Roman" w:eastAsia="宋体" w:cs="Times New Roman"/>
          <w:sz w:val="24"/>
          <w:szCs w:val="32"/>
        </w:rPr>
        <w:t>附件6 各部门选址意见</w:t>
      </w:r>
    </w:p>
    <w:p>
      <w:pPr>
        <w:adjustRightInd w:val="0"/>
        <w:snapToGrid w:val="0"/>
        <w:spacing w:line="360" w:lineRule="auto"/>
        <w:ind w:firstLine="480" w:firstLineChars="200"/>
        <w:rPr>
          <w:rFonts w:ascii="Times New Roman" w:hAnsi="Times New Roman" w:eastAsia="宋体" w:cs="Times New Roman"/>
          <w:sz w:val="24"/>
          <w:szCs w:val="32"/>
        </w:rPr>
      </w:pPr>
      <w:r>
        <w:rPr>
          <w:rFonts w:ascii="Times New Roman" w:hAnsi="Times New Roman" w:eastAsia="宋体" w:cs="Times New Roman"/>
          <w:sz w:val="24"/>
          <w:szCs w:val="32"/>
        </w:rPr>
        <w:t>附件</w:t>
      </w:r>
      <w:r>
        <w:rPr>
          <w:rFonts w:hint="eastAsia" w:ascii="Times New Roman" w:hAnsi="Times New Roman" w:eastAsia="宋体" w:cs="Times New Roman"/>
          <w:sz w:val="24"/>
          <w:szCs w:val="32"/>
        </w:rPr>
        <w:t>7</w:t>
      </w:r>
      <w:r>
        <w:rPr>
          <w:rFonts w:ascii="Times New Roman" w:hAnsi="Times New Roman" w:eastAsia="宋体" w:cs="Times New Roman"/>
          <w:sz w:val="24"/>
          <w:szCs w:val="32"/>
        </w:rPr>
        <w:t xml:space="preserve"> 法人身份证</w:t>
      </w:r>
      <w:bookmarkEnd w:id="15"/>
      <w:bookmarkEnd w:id="16"/>
    </w:p>
    <w:p>
      <w:pPr>
        <w:adjustRightInd w:val="0"/>
        <w:snapToGrid w:val="0"/>
        <w:spacing w:line="360" w:lineRule="auto"/>
        <w:ind w:firstLine="480" w:firstLineChars="200"/>
        <w:rPr>
          <w:rFonts w:ascii="Times New Roman" w:hAnsi="Times New Roman" w:eastAsia="宋体" w:cs="Times New Roman"/>
          <w:sz w:val="24"/>
          <w:szCs w:val="32"/>
        </w:rPr>
      </w:pPr>
      <w:r>
        <w:rPr>
          <w:rFonts w:hint="eastAsia" w:ascii="Times New Roman" w:hAnsi="Times New Roman" w:eastAsia="宋体" w:cs="Times New Roman"/>
          <w:sz w:val="24"/>
          <w:szCs w:val="32"/>
        </w:rPr>
        <w:t>附件8 引用现状</w:t>
      </w:r>
      <w:r>
        <w:rPr>
          <w:rFonts w:ascii="Times New Roman" w:hAnsi="Times New Roman" w:eastAsia="宋体" w:cs="Times New Roman"/>
          <w:sz w:val="24"/>
          <w:szCs w:val="32"/>
        </w:rPr>
        <w:t>监测报告</w:t>
      </w:r>
    </w:p>
    <w:p>
      <w:pPr>
        <w:adjustRightInd w:val="0"/>
        <w:snapToGrid w:val="0"/>
        <w:spacing w:line="360" w:lineRule="auto"/>
        <w:ind w:firstLine="480" w:firstLineChars="200"/>
        <w:rPr>
          <w:rFonts w:ascii="Times New Roman" w:hAnsi="Times New Roman" w:eastAsia="宋体" w:cs="Times New Roman"/>
          <w:sz w:val="24"/>
          <w:szCs w:val="32"/>
        </w:rPr>
      </w:pPr>
      <w:r>
        <w:rPr>
          <w:rFonts w:ascii="Times New Roman" w:hAnsi="Times New Roman" w:eastAsia="宋体" w:cs="Times New Roman"/>
          <w:sz w:val="24"/>
          <w:szCs w:val="32"/>
        </w:rPr>
        <w:t>附件</w:t>
      </w:r>
      <w:r>
        <w:rPr>
          <w:rFonts w:hint="eastAsia" w:ascii="Times New Roman" w:hAnsi="Times New Roman" w:eastAsia="宋体" w:cs="Times New Roman"/>
          <w:sz w:val="24"/>
          <w:szCs w:val="32"/>
        </w:rPr>
        <w:t>9</w:t>
      </w:r>
      <w:r>
        <w:rPr>
          <w:rFonts w:ascii="Times New Roman" w:hAnsi="Times New Roman" w:eastAsia="宋体" w:cs="Times New Roman"/>
          <w:sz w:val="24"/>
          <w:szCs w:val="32"/>
        </w:rPr>
        <w:t xml:space="preserve"> 环评委托编制合同</w:t>
      </w:r>
    </w:p>
    <w:p>
      <w:pPr>
        <w:adjustRightInd w:val="0"/>
        <w:snapToGrid w:val="0"/>
        <w:spacing w:line="360" w:lineRule="auto"/>
        <w:ind w:firstLine="480" w:firstLineChars="200"/>
        <w:rPr>
          <w:rFonts w:ascii="Times New Roman" w:hAnsi="Times New Roman" w:eastAsia="宋体" w:cs="Times New Roman"/>
          <w:sz w:val="24"/>
          <w:szCs w:val="32"/>
        </w:rPr>
      </w:pPr>
      <w:r>
        <w:rPr>
          <w:rFonts w:ascii="Times New Roman" w:hAnsi="Times New Roman" w:eastAsia="宋体" w:cs="Times New Roman"/>
          <w:sz w:val="24"/>
          <w:szCs w:val="32"/>
        </w:rPr>
        <w:t>附件</w:t>
      </w:r>
      <w:r>
        <w:rPr>
          <w:rFonts w:hint="eastAsia" w:ascii="Times New Roman" w:hAnsi="Times New Roman" w:eastAsia="宋体" w:cs="Times New Roman"/>
          <w:sz w:val="24"/>
          <w:szCs w:val="32"/>
        </w:rPr>
        <w:t>10</w:t>
      </w:r>
      <w:r>
        <w:rPr>
          <w:rFonts w:ascii="Times New Roman" w:hAnsi="Times New Roman" w:eastAsia="宋体" w:cs="Times New Roman"/>
          <w:sz w:val="24"/>
          <w:szCs w:val="32"/>
        </w:rPr>
        <w:t xml:space="preserve"> 质量审查表</w:t>
      </w:r>
    </w:p>
    <w:p>
      <w:pPr>
        <w:adjustRightInd w:val="0"/>
        <w:snapToGrid w:val="0"/>
        <w:spacing w:line="360" w:lineRule="auto"/>
        <w:ind w:firstLine="480" w:firstLineChars="200"/>
        <w:rPr>
          <w:rFonts w:ascii="Times New Roman" w:hAnsi="Times New Roman" w:eastAsia="宋体" w:cs="Times New Roman"/>
          <w:sz w:val="24"/>
          <w:szCs w:val="32"/>
        </w:rPr>
      </w:pPr>
      <w:bookmarkStart w:id="17" w:name="_Toc20446"/>
      <w:r>
        <w:rPr>
          <w:rFonts w:ascii="Times New Roman" w:hAnsi="Times New Roman" w:eastAsia="宋体" w:cs="Times New Roman"/>
          <w:sz w:val="24"/>
          <w:szCs w:val="32"/>
        </w:rPr>
        <w:t>附件</w:t>
      </w:r>
      <w:r>
        <w:rPr>
          <w:rFonts w:hint="eastAsia" w:ascii="Times New Roman" w:hAnsi="Times New Roman" w:eastAsia="宋体" w:cs="Times New Roman"/>
          <w:sz w:val="24"/>
          <w:szCs w:val="32"/>
        </w:rPr>
        <w:t>11</w:t>
      </w:r>
      <w:r>
        <w:rPr>
          <w:rFonts w:ascii="Times New Roman" w:hAnsi="Times New Roman" w:eastAsia="宋体" w:cs="Times New Roman"/>
          <w:sz w:val="24"/>
          <w:szCs w:val="32"/>
        </w:rPr>
        <w:t xml:space="preserve"> </w:t>
      </w:r>
      <w:bookmarkEnd w:id="17"/>
      <w:r>
        <w:rPr>
          <w:rFonts w:ascii="Times New Roman" w:hAnsi="Times New Roman" w:eastAsia="宋体" w:cs="Times New Roman"/>
          <w:sz w:val="24"/>
          <w:szCs w:val="32"/>
        </w:rPr>
        <w:t>审查表</w:t>
      </w:r>
    </w:p>
    <w:p>
      <w:pPr>
        <w:adjustRightInd w:val="0"/>
        <w:snapToGrid w:val="0"/>
        <w:spacing w:line="360" w:lineRule="auto"/>
        <w:ind w:firstLine="480" w:firstLineChars="200"/>
        <w:rPr>
          <w:rFonts w:ascii="Times New Roman" w:hAnsi="Times New Roman" w:eastAsia="宋体" w:cs="Times New Roman"/>
          <w:sz w:val="24"/>
          <w:szCs w:val="32"/>
        </w:rPr>
      </w:pPr>
      <w:r>
        <w:rPr>
          <w:rFonts w:hint="eastAsia" w:ascii="Times New Roman" w:hAnsi="Times New Roman" w:eastAsia="宋体" w:cs="Times New Roman"/>
          <w:sz w:val="24"/>
          <w:szCs w:val="32"/>
        </w:rPr>
        <w:t>附件12 修改意见及专家签到表</w:t>
      </w:r>
    </w:p>
    <w:p>
      <w:pPr>
        <w:adjustRightInd w:val="0"/>
        <w:snapToGrid w:val="0"/>
        <w:spacing w:line="360" w:lineRule="auto"/>
        <w:ind w:firstLine="480" w:firstLineChars="200"/>
        <w:rPr>
          <w:rFonts w:ascii="Times New Roman" w:hAnsi="Times New Roman" w:eastAsia="宋体" w:cs="Times New Roman"/>
          <w:sz w:val="24"/>
          <w:szCs w:val="32"/>
        </w:rPr>
      </w:pPr>
      <w:r>
        <w:rPr>
          <w:rFonts w:hint="eastAsia" w:ascii="Times New Roman" w:hAnsi="Times New Roman" w:eastAsia="宋体" w:cs="Times New Roman"/>
          <w:sz w:val="24"/>
          <w:szCs w:val="32"/>
        </w:rPr>
        <w:t>附件13 修改对照表</w:t>
      </w:r>
    </w:p>
    <w:p>
      <w:pPr>
        <w:adjustRightInd w:val="0"/>
        <w:snapToGrid w:val="0"/>
        <w:spacing w:line="360" w:lineRule="auto"/>
        <w:ind w:firstLine="480" w:firstLineChars="200"/>
        <w:rPr>
          <w:rFonts w:ascii="Times New Roman" w:hAnsi="Times New Roman" w:eastAsia="宋体" w:cs="Times New Roman"/>
          <w:sz w:val="24"/>
          <w:szCs w:val="32"/>
        </w:rPr>
      </w:pPr>
      <w:r>
        <w:rPr>
          <w:rFonts w:hint="eastAsia" w:ascii="Times New Roman" w:hAnsi="Times New Roman" w:eastAsia="宋体" w:cs="Times New Roman"/>
          <w:sz w:val="24"/>
          <w:szCs w:val="32"/>
        </w:rPr>
        <w:t>附件</w:t>
      </w:r>
      <w:r>
        <w:rPr>
          <w:rFonts w:ascii="Times New Roman" w:hAnsi="Times New Roman" w:eastAsia="宋体" w:cs="Times New Roman"/>
          <w:sz w:val="24"/>
          <w:szCs w:val="32"/>
        </w:rPr>
        <w:t xml:space="preserve">14 </w:t>
      </w:r>
      <w:r>
        <w:rPr>
          <w:rFonts w:hint="eastAsia" w:ascii="Times New Roman" w:hAnsi="Times New Roman" w:eastAsia="宋体" w:cs="Times New Roman"/>
          <w:sz w:val="24"/>
          <w:szCs w:val="32"/>
        </w:rPr>
        <w:t>技术审查意见</w:t>
      </w:r>
    </w:p>
    <w:p>
      <w:pPr>
        <w:rPr>
          <w:rFonts w:ascii="Times New Roman" w:hAnsi="Times New Roman" w:eastAsia="宋体" w:cs="Times New Roman"/>
          <w:bCs/>
        </w:rPr>
      </w:pPr>
      <w:r>
        <w:rPr>
          <w:rFonts w:ascii="Times New Roman" w:hAnsi="Times New Roman" w:eastAsia="宋体" w:cs="Times New Roman"/>
          <w:bCs/>
        </w:rPr>
        <w:br w:type="page"/>
      </w:r>
    </w:p>
    <w:p>
      <w:pPr>
        <w:pStyle w:val="2"/>
        <w:spacing w:before="0" w:after="0"/>
        <w:jc w:val="center"/>
        <w:rPr>
          <w:rFonts w:ascii="Times New Roman" w:hAnsi="Times New Roman" w:eastAsia="宋体" w:cs="Times New Roman"/>
        </w:rPr>
        <w:sectPr>
          <w:pgSz w:w="11906" w:h="16838"/>
          <w:pgMar w:top="1440" w:right="1800" w:bottom="1440" w:left="1800" w:header="851" w:footer="992" w:gutter="0"/>
          <w:pgNumType w:fmt="numberInDash" w:start="1"/>
          <w:cols w:space="425" w:num="1"/>
          <w:docGrid w:type="lines" w:linePitch="312" w:charSpace="0"/>
        </w:sectPr>
      </w:pPr>
    </w:p>
    <w:p>
      <w:pPr>
        <w:pStyle w:val="2"/>
        <w:adjustRightInd w:val="0"/>
        <w:snapToGrid w:val="0"/>
        <w:spacing w:before="0" w:after="0" w:line="240" w:lineRule="auto"/>
        <w:jc w:val="center"/>
        <w:rPr>
          <w:rFonts w:ascii="Times New Roman" w:hAnsi="Times New Roman" w:eastAsia="宋体" w:cs="Times New Roman"/>
        </w:rPr>
      </w:pPr>
      <w:bookmarkStart w:id="18" w:name="_Toc31294"/>
      <w:r>
        <w:rPr>
          <w:rFonts w:ascii="Times New Roman" w:hAnsi="Times New Roman" w:eastAsia="宋体" w:cs="Times New Roman"/>
        </w:rPr>
        <w:t>一、建设项目基本情况</w:t>
      </w:r>
      <w:bookmarkEnd w:id="18"/>
    </w:p>
    <w:tbl>
      <w:tblPr>
        <w:tblStyle w:val="30"/>
        <w:tblW w:w="49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1968"/>
        <w:gridCol w:w="1910"/>
        <w:gridCol w:w="3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pct"/>
            <w:vAlign w:val="center"/>
          </w:tcPr>
          <w:p>
            <w:pPr>
              <w:adjustRightInd w:val="0"/>
              <w:snapToGrid w:val="0"/>
              <w:jc w:val="center"/>
              <w:rPr>
                <w:rFonts w:ascii="Times New Roman" w:hAnsi="Times New Roman" w:eastAsia="宋体" w:cs="Times New Roman"/>
                <w:sz w:val="24"/>
              </w:rPr>
            </w:pPr>
            <w:r>
              <w:rPr>
                <w:rFonts w:ascii="Times New Roman" w:hAnsi="Times New Roman" w:eastAsia="宋体" w:cs="Times New Roman"/>
                <w:sz w:val="24"/>
              </w:rPr>
              <w:t>建设项目名称</w:t>
            </w:r>
          </w:p>
        </w:tc>
        <w:tc>
          <w:tcPr>
            <w:tcW w:w="4272" w:type="pct"/>
            <w:gridSpan w:val="3"/>
            <w:vAlign w:val="center"/>
          </w:tcPr>
          <w:p>
            <w:pPr>
              <w:adjustRightInd w:val="0"/>
              <w:snapToGrid w:val="0"/>
              <w:jc w:val="center"/>
              <w:rPr>
                <w:rFonts w:ascii="Times New Roman" w:hAnsi="Times New Roman" w:eastAsia="宋体" w:cs="Times New Roman"/>
                <w:sz w:val="24"/>
              </w:rPr>
            </w:pPr>
            <w:r>
              <w:rPr>
                <w:rFonts w:hint="eastAsia" w:ascii="Times New Roman" w:hAnsi="Times New Roman" w:eastAsia="宋体" w:cs="Times New Roman"/>
                <w:sz w:val="24"/>
              </w:rPr>
              <w:t>云县山河沙、石加工建设项目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pct"/>
            <w:vAlign w:val="center"/>
          </w:tcPr>
          <w:p>
            <w:pPr>
              <w:adjustRightInd w:val="0"/>
              <w:snapToGrid w:val="0"/>
              <w:jc w:val="center"/>
              <w:rPr>
                <w:rFonts w:ascii="Times New Roman" w:hAnsi="Times New Roman" w:eastAsia="宋体" w:cs="Times New Roman"/>
                <w:sz w:val="24"/>
              </w:rPr>
            </w:pPr>
            <w:r>
              <w:rPr>
                <w:rFonts w:ascii="Times New Roman" w:hAnsi="Times New Roman" w:eastAsia="宋体" w:cs="Times New Roman"/>
                <w:sz w:val="24"/>
              </w:rPr>
              <w:t>项目代码</w:t>
            </w:r>
          </w:p>
        </w:tc>
        <w:tc>
          <w:tcPr>
            <w:tcW w:w="4272" w:type="pct"/>
            <w:gridSpan w:val="3"/>
            <w:vAlign w:val="center"/>
          </w:tcPr>
          <w:p>
            <w:pPr>
              <w:adjustRightInd w:val="0"/>
              <w:snapToGrid w:val="0"/>
              <w:jc w:val="center"/>
              <w:rPr>
                <w:rFonts w:ascii="Times New Roman" w:hAnsi="Times New Roman" w:eastAsia="宋体" w:cs="Times New Roman"/>
                <w:sz w:val="24"/>
              </w:rPr>
            </w:pPr>
            <w:r>
              <w:rPr>
                <w:rFonts w:hint="eastAsia" w:ascii="Times New Roman" w:hAnsi="Times New Roman" w:eastAsia="宋体" w:cs="Times New Roman"/>
                <w:sz w:val="24"/>
              </w:rPr>
              <w:t>2310-530922-04-05-570147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pct"/>
            <w:vAlign w:val="center"/>
          </w:tcPr>
          <w:p>
            <w:pPr>
              <w:adjustRightInd w:val="0"/>
              <w:snapToGrid w:val="0"/>
              <w:jc w:val="center"/>
              <w:rPr>
                <w:rFonts w:ascii="Times New Roman" w:hAnsi="Times New Roman" w:eastAsia="宋体" w:cs="Times New Roman"/>
                <w:sz w:val="24"/>
              </w:rPr>
            </w:pPr>
            <w:r>
              <w:rPr>
                <w:rFonts w:ascii="Times New Roman" w:hAnsi="Times New Roman" w:eastAsia="宋体" w:cs="Times New Roman"/>
                <w:sz w:val="24"/>
              </w:rPr>
              <w:t>建设单位联系人</w:t>
            </w:r>
          </w:p>
        </w:tc>
        <w:tc>
          <w:tcPr>
            <w:tcW w:w="1156" w:type="pct"/>
            <w:vAlign w:val="center"/>
          </w:tcPr>
          <w:p>
            <w:pPr>
              <w:adjustRightInd w:val="0"/>
              <w:snapToGrid w:val="0"/>
              <w:jc w:val="center"/>
              <w:rPr>
                <w:rFonts w:ascii="Times New Roman" w:hAnsi="Times New Roman" w:eastAsia="宋体" w:cs="Times New Roman"/>
                <w:sz w:val="24"/>
              </w:rPr>
            </w:pPr>
            <w:r>
              <w:rPr>
                <w:rFonts w:hint="eastAsia" w:ascii="Times New Roman" w:hAnsi="Times New Roman" w:eastAsia="宋体" w:cs="Times New Roman"/>
                <w:sz w:val="24"/>
              </w:rPr>
              <w:t>王云河</w:t>
            </w:r>
          </w:p>
        </w:tc>
        <w:tc>
          <w:tcPr>
            <w:tcW w:w="1122" w:type="pct"/>
            <w:vAlign w:val="center"/>
          </w:tcPr>
          <w:p>
            <w:pPr>
              <w:adjustRightInd w:val="0"/>
              <w:snapToGrid w:val="0"/>
              <w:jc w:val="center"/>
              <w:rPr>
                <w:rFonts w:ascii="Times New Roman" w:hAnsi="Times New Roman" w:eastAsia="宋体" w:cs="Times New Roman"/>
                <w:sz w:val="24"/>
              </w:rPr>
            </w:pPr>
            <w:r>
              <w:rPr>
                <w:rFonts w:ascii="Times New Roman" w:hAnsi="Times New Roman" w:eastAsia="宋体" w:cs="Times New Roman"/>
                <w:sz w:val="24"/>
              </w:rPr>
              <w:t>联系方式</w:t>
            </w:r>
          </w:p>
        </w:tc>
        <w:tc>
          <w:tcPr>
            <w:tcW w:w="1994" w:type="pct"/>
            <w:vAlign w:val="center"/>
          </w:tcPr>
          <w:p>
            <w:pPr>
              <w:adjustRightInd w:val="0"/>
              <w:snapToGrid w:val="0"/>
              <w:jc w:val="center"/>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pct"/>
            <w:vAlign w:val="center"/>
          </w:tcPr>
          <w:p>
            <w:pPr>
              <w:adjustRightInd w:val="0"/>
              <w:snapToGrid w:val="0"/>
              <w:jc w:val="center"/>
              <w:rPr>
                <w:rFonts w:ascii="Times New Roman" w:hAnsi="Times New Roman" w:eastAsia="宋体" w:cs="Times New Roman"/>
                <w:sz w:val="24"/>
              </w:rPr>
            </w:pPr>
            <w:r>
              <w:rPr>
                <w:rFonts w:ascii="Times New Roman" w:hAnsi="Times New Roman" w:eastAsia="宋体" w:cs="Times New Roman"/>
                <w:sz w:val="24"/>
              </w:rPr>
              <w:t>建设地点</w:t>
            </w:r>
          </w:p>
        </w:tc>
        <w:tc>
          <w:tcPr>
            <w:tcW w:w="4272" w:type="pct"/>
            <w:gridSpan w:val="3"/>
            <w:vAlign w:val="center"/>
          </w:tcPr>
          <w:p>
            <w:pPr>
              <w:adjustRightInd w:val="0"/>
              <w:snapToGrid w:val="0"/>
              <w:jc w:val="center"/>
              <w:rPr>
                <w:rFonts w:ascii="Times New Roman" w:hAnsi="Times New Roman" w:eastAsia="宋体" w:cs="Times New Roman"/>
                <w:sz w:val="24"/>
              </w:rPr>
            </w:pPr>
            <w:r>
              <w:rPr>
                <w:rFonts w:hint="eastAsia" w:ascii="Times New Roman" w:hAnsi="Times New Roman" w:eastAsia="宋体" w:cs="Times New Roman"/>
                <w:sz w:val="24"/>
              </w:rPr>
              <w:t>云县爱华镇河湾村委会马家庄组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pct"/>
            <w:vAlign w:val="center"/>
          </w:tcPr>
          <w:p>
            <w:pPr>
              <w:adjustRightInd w:val="0"/>
              <w:snapToGrid w:val="0"/>
              <w:jc w:val="center"/>
              <w:rPr>
                <w:rFonts w:ascii="Times New Roman" w:hAnsi="Times New Roman" w:eastAsia="宋体" w:cs="Times New Roman"/>
                <w:sz w:val="24"/>
              </w:rPr>
            </w:pPr>
            <w:r>
              <w:rPr>
                <w:rFonts w:ascii="Times New Roman" w:hAnsi="Times New Roman" w:eastAsia="宋体" w:cs="Times New Roman"/>
                <w:sz w:val="24"/>
              </w:rPr>
              <w:t>地理坐标</w:t>
            </w:r>
          </w:p>
        </w:tc>
        <w:tc>
          <w:tcPr>
            <w:tcW w:w="4272" w:type="pct"/>
            <w:gridSpan w:val="3"/>
            <w:vAlign w:val="center"/>
          </w:tcPr>
          <w:p>
            <w:pPr>
              <w:adjustRightInd w:val="0"/>
              <w:snapToGrid w:val="0"/>
              <w:jc w:val="center"/>
              <w:rPr>
                <w:rFonts w:ascii="Times New Roman" w:hAnsi="Times New Roman" w:eastAsia="宋体" w:cs="Times New Roman"/>
                <w:sz w:val="24"/>
              </w:rPr>
            </w:pPr>
            <w:r>
              <w:rPr>
                <w:rFonts w:ascii="Times New Roman" w:hAnsi="Times New Roman" w:eastAsia="宋体" w:cs="Times New Roman"/>
                <w:sz w:val="24"/>
              </w:rPr>
              <w:t>东经100°5'58.060"，北纬 24°27'59.783</w:t>
            </w:r>
            <w:r>
              <w:rPr>
                <w:rFonts w:ascii="Times New Roman" w:hAnsi="Times New Roman" w:eastAsia="宋体" w:cs="Times New Roman"/>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pct"/>
            <w:vAlign w:val="center"/>
          </w:tcPr>
          <w:p>
            <w:pPr>
              <w:adjustRightInd w:val="0"/>
              <w:snapToGrid w:val="0"/>
              <w:jc w:val="center"/>
              <w:rPr>
                <w:rFonts w:ascii="Times New Roman" w:hAnsi="Times New Roman" w:eastAsia="宋体" w:cs="Times New Roman"/>
                <w:sz w:val="24"/>
              </w:rPr>
            </w:pPr>
            <w:r>
              <w:rPr>
                <w:rFonts w:ascii="Times New Roman" w:hAnsi="Times New Roman" w:eastAsia="宋体" w:cs="Times New Roman"/>
                <w:sz w:val="24"/>
              </w:rPr>
              <w:t>国民经济</w:t>
            </w:r>
          </w:p>
          <w:p>
            <w:pPr>
              <w:adjustRightInd w:val="0"/>
              <w:snapToGrid w:val="0"/>
              <w:jc w:val="center"/>
              <w:rPr>
                <w:rFonts w:ascii="Times New Roman" w:hAnsi="Times New Roman" w:eastAsia="宋体" w:cs="Times New Roman"/>
                <w:sz w:val="24"/>
              </w:rPr>
            </w:pPr>
            <w:r>
              <w:rPr>
                <w:rFonts w:ascii="Times New Roman" w:hAnsi="Times New Roman" w:eastAsia="宋体" w:cs="Times New Roman"/>
                <w:sz w:val="24"/>
              </w:rPr>
              <w:t>行业类别</w:t>
            </w:r>
          </w:p>
        </w:tc>
        <w:tc>
          <w:tcPr>
            <w:tcW w:w="1156" w:type="pct"/>
            <w:vAlign w:val="center"/>
          </w:tcPr>
          <w:p>
            <w:pPr>
              <w:adjustRightInd w:val="0"/>
              <w:snapToGrid w:val="0"/>
              <w:jc w:val="center"/>
              <w:rPr>
                <w:rFonts w:ascii="Times New Roman" w:hAnsi="Times New Roman" w:eastAsia="宋体" w:cs="Times New Roman"/>
                <w:sz w:val="24"/>
              </w:rPr>
            </w:pPr>
            <w:r>
              <w:rPr>
                <w:rFonts w:ascii="Times New Roman" w:hAnsi="Times New Roman" w:eastAsia="宋体" w:cs="Times New Roman"/>
                <w:spacing w:val="8"/>
                <w:sz w:val="24"/>
              </w:rPr>
              <w:t>其他建筑材料制造C3039</w:t>
            </w:r>
          </w:p>
        </w:tc>
        <w:tc>
          <w:tcPr>
            <w:tcW w:w="1122" w:type="pct"/>
            <w:vAlign w:val="center"/>
          </w:tcPr>
          <w:p>
            <w:pPr>
              <w:adjustRightInd w:val="0"/>
              <w:snapToGrid w:val="0"/>
              <w:jc w:val="center"/>
              <w:rPr>
                <w:rFonts w:ascii="Times New Roman" w:hAnsi="Times New Roman" w:eastAsia="宋体" w:cs="Times New Roman"/>
                <w:sz w:val="24"/>
              </w:rPr>
            </w:pPr>
            <w:r>
              <w:rPr>
                <w:rFonts w:ascii="Times New Roman" w:hAnsi="Times New Roman" w:eastAsia="宋体" w:cs="Times New Roman"/>
                <w:sz w:val="24"/>
              </w:rPr>
              <w:t>建设项目</w:t>
            </w:r>
          </w:p>
          <w:p>
            <w:pPr>
              <w:adjustRightInd w:val="0"/>
              <w:snapToGrid w:val="0"/>
              <w:jc w:val="center"/>
              <w:rPr>
                <w:rFonts w:ascii="Times New Roman" w:hAnsi="Times New Roman" w:eastAsia="宋体" w:cs="Times New Roman"/>
                <w:sz w:val="24"/>
              </w:rPr>
            </w:pPr>
            <w:r>
              <w:rPr>
                <w:rFonts w:ascii="Times New Roman" w:hAnsi="Times New Roman" w:eastAsia="宋体" w:cs="Times New Roman"/>
                <w:sz w:val="24"/>
              </w:rPr>
              <w:t>行业类别</w:t>
            </w:r>
          </w:p>
        </w:tc>
        <w:tc>
          <w:tcPr>
            <w:tcW w:w="1994" w:type="pct"/>
            <w:vAlign w:val="center"/>
          </w:tcPr>
          <w:p>
            <w:pPr>
              <w:widowControl/>
              <w:jc w:val="left"/>
              <w:rPr>
                <w:rFonts w:ascii="Times New Roman" w:hAnsi="Times New Roman" w:eastAsia="宋体" w:cs="Times New Roman"/>
                <w:sz w:val="24"/>
              </w:rPr>
            </w:pPr>
            <w:r>
              <w:rPr>
                <w:rFonts w:hint="eastAsia" w:ascii="宋体" w:hAnsi="宋体" w:eastAsia="宋体" w:cs="宋体"/>
                <w:kern w:val="0"/>
                <w:sz w:val="24"/>
                <w:lang w:bidi="ar"/>
              </w:rPr>
              <w:t>二十七、非金属矿物制品业</w:t>
            </w:r>
            <w:r>
              <w:rPr>
                <w:rFonts w:ascii="Times New Roman" w:hAnsi="Times New Roman" w:eastAsia="宋体" w:cs="Times New Roman"/>
                <w:kern w:val="0"/>
                <w:sz w:val="24"/>
                <w:lang w:bidi="ar"/>
              </w:rPr>
              <w:t>30</w:t>
            </w:r>
            <w:r>
              <w:rPr>
                <w:rFonts w:hint="eastAsia" w:ascii="宋体" w:hAnsi="宋体" w:eastAsia="宋体" w:cs="宋体"/>
                <w:kern w:val="0"/>
                <w:sz w:val="24"/>
                <w:lang w:bidi="ar"/>
              </w:rPr>
              <w:t>；</w:t>
            </w:r>
            <w:r>
              <w:rPr>
                <w:rFonts w:ascii="Times New Roman" w:hAnsi="Times New Roman" w:eastAsia="宋体" w:cs="Times New Roman"/>
                <w:kern w:val="0"/>
                <w:sz w:val="24"/>
                <w:lang w:bidi="ar"/>
              </w:rPr>
              <w:t>57</w:t>
            </w:r>
            <w:r>
              <w:rPr>
                <w:rFonts w:hint="eastAsia" w:ascii="宋体" w:hAnsi="宋体" w:eastAsia="宋体" w:cs="宋体"/>
                <w:kern w:val="0"/>
                <w:sz w:val="24"/>
                <w:lang w:bidi="ar"/>
              </w:rPr>
              <w:t>、砖瓦、石材等建筑材料制造</w:t>
            </w:r>
            <w:r>
              <w:rPr>
                <w:rFonts w:ascii="Times New Roman" w:hAnsi="Times New Roman" w:eastAsia="宋体" w:cs="Times New Roman"/>
                <w:kern w:val="0"/>
                <w:sz w:val="24"/>
                <w:lang w:bidi="ar"/>
              </w:rPr>
              <w:t>303</w:t>
            </w:r>
            <w:r>
              <w:rPr>
                <w:rFonts w:hint="eastAsia" w:ascii="宋体" w:hAnsi="宋体" w:eastAsia="宋体" w:cs="宋体"/>
                <w:kern w:val="0"/>
                <w:sz w:val="24"/>
                <w:lang w:bidi="ar"/>
              </w:rPr>
              <w:t>；其他建筑材料制造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pct"/>
            <w:vAlign w:val="center"/>
          </w:tcPr>
          <w:p>
            <w:pPr>
              <w:jc w:val="center"/>
              <w:rPr>
                <w:rFonts w:ascii="Times New Roman" w:hAnsi="Times New Roman" w:eastAsia="宋体" w:cs="Times New Roman"/>
                <w:sz w:val="24"/>
              </w:rPr>
            </w:pPr>
            <w:r>
              <w:rPr>
                <w:rFonts w:ascii="Times New Roman" w:hAnsi="Times New Roman" w:eastAsia="宋体" w:cs="Times New Roman"/>
                <w:sz w:val="24"/>
              </w:rPr>
              <w:t>建设性质</w:t>
            </w:r>
          </w:p>
        </w:tc>
        <w:tc>
          <w:tcPr>
            <w:tcW w:w="1156" w:type="pct"/>
            <w:vAlign w:val="center"/>
          </w:tcPr>
          <w:p>
            <w:pPr>
              <w:jc w:val="left"/>
              <w:rPr>
                <w:rFonts w:ascii="Times New Roman" w:hAnsi="Times New Roman" w:eastAsia="宋体" w:cs="Times New Roman"/>
                <w:sz w:val="24"/>
              </w:rPr>
            </w:pPr>
            <w:r>
              <w:rPr>
                <w:rFonts w:ascii="Times New Roman" w:hAnsi="Times New Roman" w:eastAsia="宋体" w:cs="Times New Roman"/>
                <w:spacing w:val="-12"/>
              </w:rPr>
              <w:t>☑</w:t>
            </w:r>
            <w:r>
              <w:rPr>
                <w:rFonts w:ascii="Times New Roman" w:hAnsi="Times New Roman" w:eastAsia="宋体" w:cs="Times New Roman"/>
                <w:sz w:val="24"/>
              </w:rPr>
              <w:t>新建（迁建）</w:t>
            </w:r>
          </w:p>
          <w:p>
            <w:pPr>
              <w:jc w:val="left"/>
              <w:rPr>
                <w:rFonts w:ascii="Times New Roman" w:hAnsi="Times New Roman" w:eastAsia="宋体" w:cs="Times New Roman"/>
                <w:sz w:val="24"/>
              </w:rPr>
            </w:pPr>
            <w:r>
              <w:rPr>
                <w:rFonts w:ascii="Times New Roman" w:hAnsi="Times New Roman" w:eastAsia="宋体" w:cs="Times New Roman"/>
                <w:spacing w:val="-12"/>
              </w:rPr>
              <w:sym w:font="Wingdings 2" w:char="00A3"/>
            </w:r>
            <w:r>
              <w:rPr>
                <w:rFonts w:ascii="Times New Roman" w:hAnsi="Times New Roman" w:eastAsia="宋体" w:cs="Times New Roman"/>
                <w:sz w:val="24"/>
              </w:rPr>
              <w:t>改建</w:t>
            </w:r>
          </w:p>
          <w:p>
            <w:pPr>
              <w:jc w:val="left"/>
              <w:rPr>
                <w:rFonts w:ascii="Times New Roman" w:hAnsi="Times New Roman" w:eastAsia="宋体" w:cs="Times New Roman"/>
                <w:sz w:val="24"/>
              </w:rPr>
            </w:pPr>
            <w:r>
              <w:rPr>
                <w:rFonts w:ascii="Times New Roman" w:hAnsi="Times New Roman" w:eastAsia="宋体" w:cs="Times New Roman"/>
                <w:spacing w:val="-12"/>
              </w:rPr>
              <w:sym w:font="Wingdings 2" w:char="00A3"/>
            </w:r>
            <w:r>
              <w:rPr>
                <w:rFonts w:ascii="Times New Roman" w:hAnsi="Times New Roman" w:eastAsia="宋体" w:cs="Times New Roman"/>
                <w:sz w:val="24"/>
              </w:rPr>
              <w:t>扩建</w:t>
            </w:r>
          </w:p>
          <w:p>
            <w:pPr>
              <w:jc w:val="left"/>
              <w:rPr>
                <w:rFonts w:ascii="Times New Roman" w:hAnsi="Times New Roman" w:eastAsia="宋体" w:cs="Times New Roman"/>
                <w:sz w:val="24"/>
              </w:rPr>
            </w:pPr>
            <w:r>
              <w:rPr>
                <w:rFonts w:ascii="Times New Roman" w:hAnsi="Times New Roman" w:eastAsia="宋体" w:cs="Times New Roman"/>
                <w:spacing w:val="-12"/>
              </w:rPr>
              <w:sym w:font="Wingdings 2" w:char="00A3"/>
            </w:r>
            <w:r>
              <w:rPr>
                <w:rFonts w:ascii="Times New Roman" w:hAnsi="Times New Roman" w:eastAsia="宋体" w:cs="Times New Roman"/>
                <w:sz w:val="24"/>
              </w:rPr>
              <w:t>技术改造</w:t>
            </w:r>
          </w:p>
        </w:tc>
        <w:tc>
          <w:tcPr>
            <w:tcW w:w="1122" w:type="pct"/>
            <w:vAlign w:val="center"/>
          </w:tcPr>
          <w:p>
            <w:pPr>
              <w:jc w:val="center"/>
              <w:rPr>
                <w:rFonts w:ascii="Times New Roman" w:hAnsi="Times New Roman" w:eastAsia="宋体" w:cs="Times New Roman"/>
                <w:sz w:val="24"/>
              </w:rPr>
            </w:pPr>
            <w:r>
              <w:rPr>
                <w:rFonts w:ascii="Times New Roman" w:hAnsi="Times New Roman" w:eastAsia="宋体" w:cs="Times New Roman"/>
                <w:sz w:val="24"/>
              </w:rPr>
              <w:t>建设项目</w:t>
            </w:r>
          </w:p>
          <w:p>
            <w:pPr>
              <w:jc w:val="center"/>
              <w:rPr>
                <w:rFonts w:ascii="Times New Roman" w:hAnsi="Times New Roman" w:eastAsia="宋体" w:cs="Times New Roman"/>
                <w:sz w:val="24"/>
              </w:rPr>
            </w:pPr>
            <w:r>
              <w:rPr>
                <w:rFonts w:ascii="Times New Roman" w:hAnsi="Times New Roman" w:eastAsia="宋体" w:cs="Times New Roman"/>
                <w:sz w:val="24"/>
              </w:rPr>
              <w:t>申报情形</w:t>
            </w:r>
          </w:p>
        </w:tc>
        <w:tc>
          <w:tcPr>
            <w:tcW w:w="1994" w:type="pct"/>
            <w:vAlign w:val="center"/>
          </w:tcPr>
          <w:p>
            <w:pPr>
              <w:jc w:val="left"/>
              <w:rPr>
                <w:rFonts w:ascii="Times New Roman" w:hAnsi="Times New Roman" w:eastAsia="宋体" w:cs="Times New Roman"/>
                <w:sz w:val="24"/>
              </w:rPr>
            </w:pPr>
            <w:r>
              <w:rPr>
                <w:rFonts w:ascii="Times New Roman" w:hAnsi="Times New Roman" w:eastAsia="宋体" w:cs="Times New Roman"/>
                <w:spacing w:val="-12"/>
              </w:rPr>
              <w:t>☑</w:t>
            </w:r>
            <w:r>
              <w:rPr>
                <w:rFonts w:ascii="Times New Roman" w:hAnsi="Times New Roman" w:eastAsia="宋体" w:cs="Times New Roman"/>
                <w:sz w:val="24"/>
              </w:rPr>
              <w:t>首次申报项目</w:t>
            </w:r>
          </w:p>
          <w:p>
            <w:pPr>
              <w:jc w:val="left"/>
              <w:rPr>
                <w:rFonts w:ascii="Times New Roman" w:hAnsi="Times New Roman" w:eastAsia="宋体" w:cs="Times New Roman"/>
                <w:sz w:val="24"/>
              </w:rPr>
            </w:pPr>
            <w:r>
              <w:rPr>
                <w:rFonts w:ascii="Times New Roman" w:hAnsi="Times New Roman" w:eastAsia="宋体" w:cs="Times New Roman"/>
                <w:spacing w:val="-12"/>
              </w:rPr>
              <w:sym w:font="Wingdings 2" w:char="00A3"/>
            </w:r>
            <w:r>
              <w:rPr>
                <w:rFonts w:ascii="Times New Roman" w:hAnsi="Times New Roman" w:eastAsia="宋体" w:cs="Times New Roman"/>
                <w:sz w:val="24"/>
              </w:rPr>
              <w:t>不予批准后再次申报项目</w:t>
            </w:r>
          </w:p>
          <w:p>
            <w:pPr>
              <w:jc w:val="left"/>
              <w:rPr>
                <w:rFonts w:ascii="Times New Roman" w:hAnsi="Times New Roman" w:eastAsia="宋体" w:cs="Times New Roman"/>
                <w:sz w:val="24"/>
              </w:rPr>
            </w:pPr>
            <w:r>
              <w:rPr>
                <w:rFonts w:ascii="Times New Roman" w:hAnsi="Times New Roman" w:eastAsia="宋体" w:cs="Times New Roman"/>
                <w:spacing w:val="-12"/>
              </w:rPr>
              <w:sym w:font="Wingdings 2" w:char="00A3"/>
            </w:r>
            <w:r>
              <w:rPr>
                <w:rFonts w:ascii="Times New Roman" w:hAnsi="Times New Roman" w:eastAsia="宋体" w:cs="Times New Roman"/>
                <w:sz w:val="24"/>
              </w:rPr>
              <w:t>超五年重新审核项目</w:t>
            </w:r>
          </w:p>
          <w:p>
            <w:pPr>
              <w:jc w:val="left"/>
              <w:rPr>
                <w:rFonts w:ascii="Times New Roman" w:hAnsi="Times New Roman" w:eastAsia="宋体" w:cs="Times New Roman"/>
                <w:sz w:val="24"/>
              </w:rPr>
            </w:pPr>
            <w:r>
              <w:rPr>
                <w:rFonts w:ascii="Times New Roman" w:hAnsi="Times New Roman" w:eastAsia="宋体" w:cs="Times New Roman"/>
                <w:spacing w:val="-12"/>
              </w:rPr>
              <w:sym w:font="Wingdings 2" w:char="00A3"/>
            </w:r>
            <w:r>
              <w:rPr>
                <w:rFonts w:ascii="Times New Roman" w:hAnsi="Times New Roman" w:eastAsia="宋体" w:cs="Times New Roman"/>
                <w:sz w:val="24"/>
              </w:rPr>
              <w:t>重大变动重新报批项目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pct"/>
            <w:vAlign w:val="center"/>
          </w:tcPr>
          <w:p>
            <w:pPr>
              <w:jc w:val="center"/>
              <w:rPr>
                <w:rFonts w:ascii="Times New Roman" w:hAnsi="Times New Roman" w:eastAsia="宋体" w:cs="Times New Roman"/>
                <w:sz w:val="24"/>
              </w:rPr>
            </w:pPr>
            <w:r>
              <w:rPr>
                <w:rFonts w:ascii="Times New Roman" w:hAnsi="Times New Roman" w:eastAsia="宋体" w:cs="Times New Roman"/>
                <w:sz w:val="24"/>
              </w:rPr>
              <w:t>项目审批（核准/备案）部门（选填）</w:t>
            </w:r>
          </w:p>
        </w:tc>
        <w:tc>
          <w:tcPr>
            <w:tcW w:w="1156" w:type="pct"/>
            <w:vAlign w:val="center"/>
          </w:tcPr>
          <w:p>
            <w:pPr>
              <w:jc w:val="center"/>
              <w:rPr>
                <w:rFonts w:ascii="Times New Roman" w:hAnsi="Times New Roman" w:eastAsia="宋体" w:cs="Times New Roman"/>
                <w:sz w:val="24"/>
              </w:rPr>
            </w:pPr>
            <w:r>
              <w:rPr>
                <w:rFonts w:ascii="Times New Roman" w:hAnsi="Times New Roman" w:eastAsia="宋体" w:cs="Times New Roman"/>
                <w:sz w:val="24"/>
              </w:rPr>
              <w:t>云县发展和改革局</w:t>
            </w:r>
          </w:p>
        </w:tc>
        <w:tc>
          <w:tcPr>
            <w:tcW w:w="1122" w:type="pct"/>
            <w:vAlign w:val="center"/>
          </w:tcPr>
          <w:p>
            <w:pPr>
              <w:jc w:val="center"/>
              <w:rPr>
                <w:rFonts w:ascii="Times New Roman" w:hAnsi="Times New Roman" w:eastAsia="宋体" w:cs="Times New Roman"/>
                <w:sz w:val="24"/>
              </w:rPr>
            </w:pPr>
            <w:r>
              <w:rPr>
                <w:rFonts w:ascii="Times New Roman" w:hAnsi="Times New Roman" w:eastAsia="宋体" w:cs="Times New Roman"/>
                <w:sz w:val="24"/>
              </w:rPr>
              <w:t>项目审批（核准/备案）文号（选填）</w:t>
            </w:r>
          </w:p>
        </w:tc>
        <w:tc>
          <w:tcPr>
            <w:tcW w:w="1994" w:type="pct"/>
            <w:vAlign w:val="center"/>
          </w:tcPr>
          <w:p>
            <w:pPr>
              <w:jc w:val="center"/>
              <w:rPr>
                <w:rFonts w:ascii="Times New Roman" w:hAnsi="Times New Roman" w:eastAsia="宋体" w:cs="Times New Roman"/>
                <w:sz w:val="24"/>
              </w:rPr>
            </w:pPr>
            <w:r>
              <w:rPr>
                <w:rFonts w:ascii="Times New Roman" w:hAnsi="Times New Roman" w:eastAsia="宋体" w:cs="Times New Roman"/>
                <w:sz w:val="24"/>
              </w:rPr>
              <w:t>备案号：</w:t>
            </w:r>
            <w:r>
              <w:rPr>
                <w:rFonts w:hint="eastAsia" w:ascii="Times New Roman" w:hAnsi="Times New Roman" w:eastAsia="宋体" w:cs="Times New Roman"/>
                <w:sz w:val="24"/>
              </w:rPr>
              <w:t>2310-530922-04-05-570147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pct"/>
            <w:vAlign w:val="center"/>
          </w:tcPr>
          <w:p>
            <w:pPr>
              <w:jc w:val="center"/>
              <w:rPr>
                <w:rFonts w:ascii="Times New Roman" w:hAnsi="Times New Roman" w:eastAsia="宋体" w:cs="Times New Roman"/>
                <w:sz w:val="24"/>
              </w:rPr>
            </w:pPr>
            <w:r>
              <w:rPr>
                <w:rFonts w:ascii="Times New Roman" w:hAnsi="Times New Roman" w:eastAsia="宋体" w:cs="Times New Roman"/>
                <w:sz w:val="24"/>
              </w:rPr>
              <w:t>总投资（万元）</w:t>
            </w:r>
          </w:p>
        </w:tc>
        <w:tc>
          <w:tcPr>
            <w:tcW w:w="1156" w:type="pct"/>
            <w:vAlign w:val="center"/>
          </w:tcPr>
          <w:p>
            <w:pPr>
              <w:jc w:val="center"/>
              <w:rPr>
                <w:rFonts w:ascii="Times New Roman" w:hAnsi="Times New Roman" w:eastAsia="宋体" w:cs="Times New Roman"/>
                <w:sz w:val="24"/>
              </w:rPr>
            </w:pPr>
            <w:r>
              <w:rPr>
                <w:rFonts w:hint="eastAsia" w:ascii="Times New Roman" w:hAnsi="Times New Roman" w:eastAsia="宋体" w:cs="Times New Roman"/>
                <w:kern w:val="0"/>
                <w:sz w:val="24"/>
              </w:rPr>
              <w:t>1000</w:t>
            </w:r>
          </w:p>
        </w:tc>
        <w:tc>
          <w:tcPr>
            <w:tcW w:w="1122" w:type="pct"/>
            <w:vAlign w:val="center"/>
          </w:tcPr>
          <w:p>
            <w:pPr>
              <w:jc w:val="center"/>
              <w:rPr>
                <w:rFonts w:ascii="Times New Roman" w:hAnsi="Times New Roman" w:eastAsia="宋体" w:cs="Times New Roman"/>
                <w:sz w:val="24"/>
              </w:rPr>
            </w:pPr>
            <w:r>
              <w:rPr>
                <w:rFonts w:ascii="Times New Roman" w:hAnsi="Times New Roman" w:eastAsia="宋体" w:cs="Times New Roman"/>
                <w:sz w:val="24"/>
              </w:rPr>
              <w:t>环保投资（万元）</w:t>
            </w:r>
          </w:p>
        </w:tc>
        <w:tc>
          <w:tcPr>
            <w:tcW w:w="1994" w:type="pct"/>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137.4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pct"/>
            <w:vAlign w:val="center"/>
          </w:tcPr>
          <w:p>
            <w:pPr>
              <w:jc w:val="center"/>
              <w:rPr>
                <w:rFonts w:ascii="Times New Roman" w:hAnsi="Times New Roman" w:eastAsia="宋体" w:cs="Times New Roman"/>
                <w:sz w:val="24"/>
              </w:rPr>
            </w:pPr>
            <w:r>
              <w:rPr>
                <w:rFonts w:ascii="Times New Roman" w:hAnsi="Times New Roman" w:eastAsia="宋体" w:cs="Times New Roman"/>
                <w:sz w:val="24"/>
              </w:rPr>
              <w:t>环保投资占比（%）</w:t>
            </w:r>
          </w:p>
        </w:tc>
        <w:tc>
          <w:tcPr>
            <w:tcW w:w="1156" w:type="pct"/>
            <w:vAlign w:val="center"/>
          </w:tcPr>
          <w:p>
            <w:pPr>
              <w:jc w:val="center"/>
              <w:rPr>
                <w:rFonts w:ascii="Times New Roman" w:hAnsi="Times New Roman" w:eastAsia="宋体" w:cs="Times New Roman"/>
                <w:sz w:val="24"/>
              </w:rPr>
            </w:pPr>
            <w:r>
              <w:rPr>
                <w:rFonts w:hint="eastAsia" w:ascii="Times New Roman" w:hAnsi="Times New Roman" w:eastAsia="宋体" w:cs="Times New Roman"/>
                <w:bCs/>
                <w:sz w:val="24"/>
              </w:rPr>
              <w:t>13.74</w:t>
            </w:r>
          </w:p>
        </w:tc>
        <w:tc>
          <w:tcPr>
            <w:tcW w:w="1122" w:type="pct"/>
            <w:vAlign w:val="center"/>
          </w:tcPr>
          <w:p>
            <w:pPr>
              <w:jc w:val="center"/>
              <w:rPr>
                <w:rFonts w:ascii="Times New Roman" w:hAnsi="Times New Roman" w:eastAsia="宋体" w:cs="Times New Roman"/>
                <w:sz w:val="24"/>
              </w:rPr>
            </w:pPr>
            <w:r>
              <w:rPr>
                <w:rFonts w:ascii="Times New Roman" w:hAnsi="Times New Roman" w:eastAsia="宋体" w:cs="Times New Roman"/>
                <w:sz w:val="24"/>
              </w:rPr>
              <w:t>施工工期</w:t>
            </w:r>
          </w:p>
        </w:tc>
        <w:tc>
          <w:tcPr>
            <w:tcW w:w="1994" w:type="pct"/>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11</w:t>
            </w:r>
            <w:r>
              <w:rPr>
                <w:rFonts w:ascii="Times New Roman" w:hAnsi="Times New Roman" w:eastAsia="宋体" w:cs="Times New Roman"/>
                <w:sz w:val="24"/>
              </w:rPr>
              <w:t>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pct"/>
            <w:vAlign w:val="center"/>
          </w:tcPr>
          <w:p>
            <w:pPr>
              <w:jc w:val="center"/>
              <w:rPr>
                <w:rFonts w:ascii="Times New Roman" w:hAnsi="Times New Roman" w:eastAsia="宋体" w:cs="Times New Roman"/>
                <w:sz w:val="24"/>
              </w:rPr>
            </w:pPr>
            <w:r>
              <w:rPr>
                <w:rFonts w:ascii="Times New Roman" w:hAnsi="Times New Roman" w:eastAsia="宋体" w:cs="Times New Roman"/>
                <w:sz w:val="24"/>
              </w:rPr>
              <w:t>是否开工建设</w:t>
            </w:r>
          </w:p>
        </w:tc>
        <w:tc>
          <w:tcPr>
            <w:tcW w:w="1156" w:type="pct"/>
            <w:vAlign w:val="center"/>
          </w:tcPr>
          <w:p>
            <w:pPr>
              <w:jc w:val="left"/>
              <w:rPr>
                <w:rFonts w:ascii="Times New Roman" w:hAnsi="Times New Roman" w:eastAsia="宋体" w:cs="Times New Roman"/>
                <w:sz w:val="24"/>
              </w:rPr>
            </w:pPr>
            <w:r>
              <w:rPr>
                <w:rFonts w:ascii="Times New Roman" w:hAnsi="Times New Roman" w:eastAsia="宋体" w:cs="Times New Roman"/>
                <w:spacing w:val="-12"/>
              </w:rPr>
              <w:t>☑</w:t>
            </w:r>
            <w:r>
              <w:rPr>
                <w:rFonts w:ascii="Times New Roman" w:hAnsi="Times New Roman" w:eastAsia="宋体" w:cs="Times New Roman"/>
                <w:sz w:val="24"/>
              </w:rPr>
              <w:t>否</w:t>
            </w:r>
          </w:p>
          <w:p>
            <w:pPr>
              <w:rPr>
                <w:rFonts w:ascii="Times New Roman" w:hAnsi="Times New Roman" w:eastAsia="宋体" w:cs="Times New Roman"/>
                <w:sz w:val="24"/>
                <w:u w:val="single"/>
              </w:rPr>
            </w:pPr>
            <w:r>
              <w:rPr>
                <w:rFonts w:ascii="Times New Roman" w:hAnsi="Times New Roman" w:eastAsia="宋体" w:cs="Times New Roman"/>
                <w:spacing w:val="-12"/>
              </w:rPr>
              <w:sym w:font="Wingdings 2" w:char="00A3"/>
            </w:r>
            <w:r>
              <w:rPr>
                <w:rFonts w:ascii="Times New Roman" w:hAnsi="Times New Roman" w:eastAsia="宋体" w:cs="Times New Roman"/>
                <w:sz w:val="24"/>
              </w:rPr>
              <w:t>是：</w:t>
            </w:r>
            <w:r>
              <w:rPr>
                <w:rFonts w:ascii="Times New Roman" w:hAnsi="Times New Roman" w:eastAsia="宋体" w:cs="Times New Roman"/>
                <w:sz w:val="24"/>
                <w:u w:val="single"/>
              </w:rPr>
              <w:t xml:space="preserve">      </w:t>
            </w:r>
          </w:p>
        </w:tc>
        <w:tc>
          <w:tcPr>
            <w:tcW w:w="1122" w:type="pct"/>
            <w:vAlign w:val="center"/>
          </w:tcPr>
          <w:p>
            <w:pPr>
              <w:jc w:val="center"/>
              <w:rPr>
                <w:rFonts w:ascii="Times New Roman" w:hAnsi="Times New Roman" w:eastAsia="宋体" w:cs="Times New Roman"/>
                <w:sz w:val="24"/>
              </w:rPr>
            </w:pPr>
            <w:r>
              <w:rPr>
                <w:rFonts w:ascii="Times New Roman" w:hAnsi="Times New Roman" w:eastAsia="宋体" w:cs="Times New Roman"/>
                <w:sz w:val="24"/>
              </w:rPr>
              <w:t>用地（用海）面积（m</w:t>
            </w:r>
            <w:r>
              <w:rPr>
                <w:rFonts w:ascii="Times New Roman" w:hAnsi="Times New Roman" w:eastAsia="宋体" w:cs="Times New Roman"/>
                <w:sz w:val="24"/>
                <w:vertAlign w:val="superscript"/>
              </w:rPr>
              <w:t>2</w:t>
            </w:r>
            <w:r>
              <w:rPr>
                <w:rFonts w:ascii="Times New Roman" w:hAnsi="Times New Roman" w:eastAsia="宋体" w:cs="Times New Roman"/>
                <w:sz w:val="24"/>
              </w:rPr>
              <w:t>）</w:t>
            </w:r>
          </w:p>
        </w:tc>
        <w:tc>
          <w:tcPr>
            <w:tcW w:w="1994" w:type="pct"/>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9404.49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pct"/>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 w:val="24"/>
              </w:rPr>
              <w:t>专项评价设置情况</w:t>
            </w:r>
          </w:p>
        </w:tc>
        <w:tc>
          <w:tcPr>
            <w:tcW w:w="4272" w:type="pct"/>
            <w:gridSpan w:val="3"/>
            <w:vAlign w:val="center"/>
          </w:tcPr>
          <w:p>
            <w:pPr>
              <w:pStyle w:val="26"/>
              <w:adjustRightInd w:val="0"/>
              <w:snapToGrid w:val="0"/>
              <w:rPr>
                <w:rFonts w:ascii="Times New Roman" w:hAnsi="Times New Roman" w:eastAsia="宋体"/>
                <w:szCs w:val="21"/>
              </w:rPr>
            </w:pPr>
            <w:bookmarkStart w:id="19" w:name="_Toc5392"/>
            <w:bookmarkStart w:id="20" w:name="_Toc12306"/>
            <w:bookmarkStart w:id="21" w:name="_Toc3435"/>
            <w:r>
              <w:rPr>
                <w:rFonts w:ascii="Times New Roman" w:hAnsi="Times New Roman" w:eastAsia="宋体"/>
                <w:szCs w:val="21"/>
              </w:rPr>
              <w:t>表1-1 专项评价设置原则情况表</w:t>
            </w:r>
            <w:bookmarkEnd w:id="19"/>
            <w:bookmarkEnd w:id="20"/>
            <w:bookmarkEnd w:id="21"/>
          </w:p>
          <w:tbl>
            <w:tblPr>
              <w:tblStyle w:val="29"/>
              <w:tblW w:w="70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0"/>
              <w:gridCol w:w="4244"/>
              <w:gridCol w:w="1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1140" w:type="dxa"/>
                  <w:tcBorders>
                    <w:tl2br w:val="nil"/>
                    <w:tr2bl w:val="nil"/>
                  </w:tcBorders>
                  <w:vAlign w:val="center"/>
                </w:tcPr>
                <w:p>
                  <w:pPr>
                    <w:adjustRightInd w:val="0"/>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专项评价的类别</w:t>
                  </w:r>
                </w:p>
              </w:tc>
              <w:tc>
                <w:tcPr>
                  <w:tcW w:w="4244" w:type="dxa"/>
                  <w:tcBorders>
                    <w:tl2br w:val="nil"/>
                    <w:tr2bl w:val="nil"/>
                  </w:tcBorders>
                  <w:vAlign w:val="center"/>
                </w:tcPr>
                <w:p>
                  <w:pPr>
                    <w:adjustRightInd w:val="0"/>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设置原则</w:t>
                  </w:r>
                </w:p>
              </w:tc>
              <w:tc>
                <w:tcPr>
                  <w:tcW w:w="1714" w:type="dxa"/>
                  <w:tcBorders>
                    <w:tl2br w:val="nil"/>
                    <w:tr2bl w:val="nil"/>
                  </w:tcBorders>
                  <w:vAlign w:val="center"/>
                </w:tcPr>
                <w:p>
                  <w:pPr>
                    <w:adjustRightInd w:val="0"/>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本项目情况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40" w:type="dxa"/>
                  <w:tcBorders>
                    <w:tl2br w:val="nil"/>
                    <w:tr2bl w:val="nil"/>
                  </w:tcBorders>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大气</w:t>
                  </w:r>
                </w:p>
              </w:tc>
              <w:tc>
                <w:tcPr>
                  <w:tcW w:w="4244" w:type="dxa"/>
                  <w:tcBorders>
                    <w:tl2br w:val="nil"/>
                    <w:tr2bl w:val="nil"/>
                  </w:tcBorders>
                  <w:vAlign w:val="center"/>
                </w:tcPr>
                <w:p>
                  <w:pPr>
                    <w:adjustRightInd w:val="0"/>
                    <w:snapToGrid w:val="0"/>
                    <w:rPr>
                      <w:rFonts w:ascii="Times New Roman" w:hAnsi="Times New Roman" w:eastAsia="宋体" w:cs="Times New Roman"/>
                      <w:szCs w:val="21"/>
                    </w:rPr>
                  </w:pPr>
                  <w:r>
                    <w:rPr>
                      <w:rFonts w:ascii="Times New Roman" w:hAnsi="Times New Roman" w:eastAsia="宋体" w:cs="Times New Roman"/>
                      <w:szCs w:val="21"/>
                    </w:rPr>
                    <w:t>排放废气含有毒有害污染物</w:t>
                  </w:r>
                  <w:r>
                    <w:rPr>
                      <w:rFonts w:ascii="Times New Roman" w:hAnsi="Times New Roman" w:eastAsia="宋体" w:cs="Times New Roman"/>
                      <w:szCs w:val="21"/>
                      <w:vertAlign w:val="superscript"/>
                    </w:rPr>
                    <w:t>1</w:t>
                  </w:r>
                  <w:r>
                    <w:rPr>
                      <w:rFonts w:ascii="Times New Roman" w:hAnsi="Times New Roman" w:eastAsia="宋体" w:cs="Times New Roman"/>
                      <w:szCs w:val="21"/>
                    </w:rPr>
                    <w:t>、二噁英、苯并[</w:t>
                  </w:r>
                  <w:r>
                    <w:rPr>
                      <w:rFonts w:ascii="Times New Roman" w:hAnsi="Times New Roman" w:eastAsia="宋体" w:cs="Times New Roman"/>
                      <w:iCs/>
                      <w:szCs w:val="21"/>
                    </w:rPr>
                    <w:t>a</w:t>
                  </w:r>
                  <w:r>
                    <w:rPr>
                      <w:rFonts w:ascii="Times New Roman" w:hAnsi="Times New Roman" w:eastAsia="宋体" w:cs="Times New Roman"/>
                      <w:szCs w:val="21"/>
                    </w:rPr>
                    <w:t>]芘、氰化物、氯气且厂界外500米范围内有环境空气保护目标</w:t>
                  </w:r>
                  <w:r>
                    <w:rPr>
                      <w:rFonts w:ascii="Times New Roman" w:hAnsi="Times New Roman" w:eastAsia="宋体" w:cs="Times New Roman"/>
                      <w:szCs w:val="21"/>
                      <w:vertAlign w:val="superscript"/>
                    </w:rPr>
                    <w:t>2</w:t>
                  </w:r>
                  <w:r>
                    <w:rPr>
                      <w:rFonts w:ascii="Times New Roman" w:hAnsi="Times New Roman" w:eastAsia="宋体" w:cs="Times New Roman"/>
                      <w:szCs w:val="21"/>
                    </w:rPr>
                    <w:t>的建设项目。</w:t>
                  </w:r>
                </w:p>
              </w:tc>
              <w:tc>
                <w:tcPr>
                  <w:tcW w:w="1714" w:type="dxa"/>
                  <w:tcBorders>
                    <w:tl2br w:val="nil"/>
                    <w:tr2bl w:val="nil"/>
                  </w:tcBorders>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不涉及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40" w:type="dxa"/>
                  <w:tcBorders>
                    <w:tl2br w:val="nil"/>
                    <w:tr2bl w:val="nil"/>
                  </w:tcBorders>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地表水</w:t>
                  </w:r>
                </w:p>
              </w:tc>
              <w:tc>
                <w:tcPr>
                  <w:tcW w:w="4244" w:type="dxa"/>
                  <w:tcBorders>
                    <w:tl2br w:val="nil"/>
                    <w:tr2bl w:val="nil"/>
                  </w:tcBorders>
                  <w:vAlign w:val="center"/>
                </w:tcPr>
                <w:p>
                  <w:pPr>
                    <w:adjustRightInd w:val="0"/>
                    <w:snapToGrid w:val="0"/>
                    <w:rPr>
                      <w:rFonts w:ascii="Times New Roman" w:hAnsi="Times New Roman" w:eastAsia="宋体" w:cs="Times New Roman"/>
                      <w:szCs w:val="21"/>
                    </w:rPr>
                  </w:pPr>
                  <w:r>
                    <w:rPr>
                      <w:rFonts w:ascii="Times New Roman" w:hAnsi="Times New Roman" w:eastAsia="宋体" w:cs="Times New Roman"/>
                      <w:szCs w:val="21"/>
                    </w:rPr>
                    <w:t>新增工业废水直排建设项目（槽罐车外送污水处理厂的除外）；新增废水直排的污水集中处理厂。</w:t>
                  </w:r>
                </w:p>
              </w:tc>
              <w:tc>
                <w:tcPr>
                  <w:tcW w:w="1714" w:type="dxa"/>
                  <w:tcBorders>
                    <w:tl2br w:val="nil"/>
                    <w:tr2bl w:val="nil"/>
                  </w:tcBorders>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不涉及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40" w:type="dxa"/>
                  <w:tcBorders>
                    <w:tl2br w:val="nil"/>
                    <w:tr2bl w:val="nil"/>
                  </w:tcBorders>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环境风险</w:t>
                  </w:r>
                </w:p>
              </w:tc>
              <w:tc>
                <w:tcPr>
                  <w:tcW w:w="4244" w:type="dxa"/>
                  <w:tcBorders>
                    <w:tl2br w:val="nil"/>
                    <w:tr2bl w:val="nil"/>
                  </w:tcBorders>
                  <w:vAlign w:val="center"/>
                </w:tcPr>
                <w:p>
                  <w:pPr>
                    <w:adjustRightInd w:val="0"/>
                    <w:snapToGrid w:val="0"/>
                    <w:rPr>
                      <w:rFonts w:ascii="Times New Roman" w:hAnsi="Times New Roman" w:eastAsia="宋体" w:cs="Times New Roman"/>
                      <w:szCs w:val="21"/>
                    </w:rPr>
                  </w:pPr>
                  <w:r>
                    <w:rPr>
                      <w:rFonts w:ascii="Times New Roman" w:hAnsi="Times New Roman" w:eastAsia="宋体" w:cs="Times New Roman"/>
                      <w:szCs w:val="21"/>
                    </w:rPr>
                    <w:t>有毒有害和易燃易爆危险物质存储量超过临界量</w:t>
                  </w:r>
                  <w:r>
                    <w:rPr>
                      <w:rFonts w:ascii="Times New Roman" w:hAnsi="Times New Roman" w:eastAsia="宋体" w:cs="Times New Roman"/>
                      <w:szCs w:val="21"/>
                      <w:vertAlign w:val="superscript"/>
                    </w:rPr>
                    <w:t>3</w:t>
                  </w:r>
                  <w:r>
                    <w:rPr>
                      <w:rFonts w:ascii="Times New Roman" w:hAnsi="Times New Roman" w:eastAsia="宋体" w:cs="Times New Roman"/>
                      <w:szCs w:val="21"/>
                    </w:rPr>
                    <w:t>的建设项目。</w:t>
                  </w:r>
                </w:p>
              </w:tc>
              <w:tc>
                <w:tcPr>
                  <w:tcW w:w="1714" w:type="dxa"/>
                  <w:tcBorders>
                    <w:tl2br w:val="nil"/>
                    <w:tr2bl w:val="nil"/>
                  </w:tcBorders>
                  <w:vAlign w:val="center"/>
                </w:tcPr>
                <w:p>
                  <w:pPr>
                    <w:adjustRightInd w:val="0"/>
                    <w:snapToGrid w:val="0"/>
                    <w:rPr>
                      <w:rFonts w:ascii="Times New Roman" w:hAnsi="Times New Roman" w:eastAsia="宋体" w:cs="Times New Roman"/>
                      <w:szCs w:val="21"/>
                    </w:rPr>
                  </w:pPr>
                  <w:r>
                    <w:rPr>
                      <w:rFonts w:ascii="Times New Roman" w:hAnsi="Times New Roman" w:eastAsia="宋体" w:cs="Times New Roman"/>
                      <w:szCs w:val="21"/>
                    </w:rPr>
                    <w:t>风险物质存储量未超过临界量。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40" w:type="dxa"/>
                  <w:tcBorders>
                    <w:tl2br w:val="nil"/>
                    <w:tr2bl w:val="nil"/>
                  </w:tcBorders>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生态</w:t>
                  </w:r>
                </w:p>
              </w:tc>
              <w:tc>
                <w:tcPr>
                  <w:tcW w:w="4244" w:type="dxa"/>
                  <w:tcBorders>
                    <w:tl2br w:val="nil"/>
                    <w:tr2bl w:val="nil"/>
                  </w:tcBorders>
                  <w:vAlign w:val="center"/>
                </w:tcPr>
                <w:p>
                  <w:pPr>
                    <w:adjustRightInd w:val="0"/>
                    <w:snapToGrid w:val="0"/>
                    <w:rPr>
                      <w:rFonts w:ascii="Times New Roman" w:hAnsi="Times New Roman" w:eastAsia="宋体" w:cs="Times New Roman"/>
                      <w:szCs w:val="21"/>
                    </w:rPr>
                  </w:pPr>
                  <w:r>
                    <w:rPr>
                      <w:rFonts w:ascii="Times New Roman" w:hAnsi="Times New Roman" w:eastAsia="宋体" w:cs="Times New Roman"/>
                      <w:szCs w:val="21"/>
                    </w:rPr>
                    <w:t>取水口下游500米范围内有重要水生生物的自然产卵场、索饵场、越冬场和洄游通道的新增河道取水的污染类建设项目。</w:t>
                  </w:r>
                </w:p>
              </w:tc>
              <w:tc>
                <w:tcPr>
                  <w:tcW w:w="1714" w:type="dxa"/>
                  <w:tcBorders>
                    <w:tl2br w:val="nil"/>
                    <w:tr2bl w:val="nil"/>
                  </w:tcBorders>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不涉及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40" w:type="dxa"/>
                  <w:tcBorders>
                    <w:tl2br w:val="nil"/>
                    <w:tr2bl w:val="nil"/>
                  </w:tcBorders>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海洋</w:t>
                  </w:r>
                </w:p>
              </w:tc>
              <w:tc>
                <w:tcPr>
                  <w:tcW w:w="4244" w:type="dxa"/>
                  <w:tcBorders>
                    <w:tl2br w:val="nil"/>
                    <w:tr2bl w:val="nil"/>
                  </w:tcBorders>
                  <w:vAlign w:val="center"/>
                </w:tcPr>
                <w:p>
                  <w:pPr>
                    <w:adjustRightInd w:val="0"/>
                    <w:snapToGrid w:val="0"/>
                    <w:rPr>
                      <w:rFonts w:ascii="Times New Roman" w:hAnsi="Times New Roman" w:eastAsia="宋体" w:cs="Times New Roman"/>
                      <w:szCs w:val="21"/>
                    </w:rPr>
                  </w:pPr>
                  <w:r>
                    <w:rPr>
                      <w:rFonts w:ascii="Times New Roman" w:hAnsi="Times New Roman" w:eastAsia="宋体" w:cs="Times New Roman"/>
                      <w:szCs w:val="21"/>
                    </w:rPr>
                    <w:t>直接向海排放污染物的海洋工程建设项目。</w:t>
                  </w:r>
                </w:p>
              </w:tc>
              <w:tc>
                <w:tcPr>
                  <w:tcW w:w="1714" w:type="dxa"/>
                  <w:tcBorders>
                    <w:tl2br w:val="nil"/>
                    <w:tr2bl w:val="nil"/>
                  </w:tcBorders>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不涉及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98" w:type="dxa"/>
                  <w:gridSpan w:val="3"/>
                  <w:tcBorders>
                    <w:tl2br w:val="nil"/>
                    <w:tr2bl w:val="nil"/>
                  </w:tcBorders>
                  <w:vAlign w:val="center"/>
                </w:tcPr>
                <w:p>
                  <w:pPr>
                    <w:widowControl/>
                    <w:rPr>
                      <w:rFonts w:ascii="Times New Roman" w:hAnsi="Times New Roman" w:eastAsia="宋体" w:cs="Times New Roman"/>
                      <w:szCs w:val="21"/>
                    </w:rPr>
                  </w:pPr>
                  <w:r>
                    <w:rPr>
                      <w:rFonts w:ascii="Times New Roman" w:hAnsi="Times New Roman" w:eastAsia="宋体" w:cs="Times New Roman"/>
                      <w:b/>
                      <w:bCs/>
                      <w:kern w:val="0"/>
                      <w:szCs w:val="21"/>
                      <w:lang w:bidi="ar"/>
                    </w:rPr>
                    <w:t>注：1.废气中有毒有害污染物指纳入《有毒有害大气污染物名录》的污染物（不包括无排放标准的污染物）。2.环境空气保护目标指自然保护区、风景名胜区、居住区、文化区和农村地区中人群较集中的区域。3.临界量及其计算方法可参考《建设项目环境风险评价技术导则》（HJ169）附录B、附录C。</w:t>
                  </w:r>
                </w:p>
              </w:tc>
            </w:tr>
          </w:tbl>
          <w:p>
            <w:pPr>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根据《建设项目环境影响报告表编制技术指南（污染影响类）（试行）》相关要求，本项目不需设置专项评价。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pct"/>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 w:val="24"/>
              </w:rPr>
              <w:t>规划情况</w:t>
            </w:r>
          </w:p>
        </w:tc>
        <w:tc>
          <w:tcPr>
            <w:tcW w:w="4272" w:type="pct"/>
            <w:gridSpan w:val="3"/>
            <w:vAlign w:val="center"/>
          </w:tcPr>
          <w:p>
            <w:pPr>
              <w:tabs>
                <w:tab w:val="left" w:pos="720"/>
                <w:tab w:val="left" w:pos="2520"/>
                <w:tab w:val="left" w:pos="5180"/>
              </w:tabs>
              <w:topLinePunct/>
              <w:adjustRightInd w:val="0"/>
              <w:snapToGrid w:val="0"/>
              <w:spacing w:line="360" w:lineRule="auto"/>
              <w:ind w:firstLine="480" w:firstLineChars="200"/>
              <w:rPr>
                <w:rFonts w:ascii="Times New Roman" w:hAnsi="Times New Roman" w:eastAsia="宋体" w:cs="Times New Roman"/>
              </w:rPr>
            </w:pPr>
            <w:r>
              <w:rPr>
                <w:rFonts w:hint="eastAsia" w:ascii="Times New Roman" w:hAnsi="Times New Roman" w:eastAsia="宋体" w:cs="Times New Roman"/>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pct"/>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 w:val="24"/>
              </w:rPr>
              <w:t>规划环境影响评价情况</w:t>
            </w:r>
          </w:p>
        </w:tc>
        <w:tc>
          <w:tcPr>
            <w:tcW w:w="4272" w:type="pct"/>
            <w:gridSpan w:val="3"/>
            <w:vAlign w:val="center"/>
          </w:tcPr>
          <w:p>
            <w:pPr>
              <w:adjustRightInd w:val="0"/>
              <w:snapToGrid w:val="0"/>
              <w:spacing w:line="360" w:lineRule="auto"/>
              <w:ind w:firstLine="480" w:firstLineChars="200"/>
              <w:rPr>
                <w:rFonts w:ascii="Times New Roman" w:hAnsi="Times New Roman" w:eastAsia="宋体" w:cs="Times New Roman"/>
              </w:rPr>
            </w:pPr>
            <w:r>
              <w:rPr>
                <w:rFonts w:hint="eastAsia" w:ascii="Times New Roman" w:hAnsi="Times New Roman" w:eastAsia="宋体" w:cs="Times New Roman"/>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pct"/>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 w:val="24"/>
              </w:rPr>
              <w:t>规划及规划环境影响评价符合性分析</w:t>
            </w:r>
          </w:p>
        </w:tc>
        <w:tc>
          <w:tcPr>
            <w:tcW w:w="4272" w:type="pct"/>
            <w:gridSpan w:val="3"/>
            <w:vAlign w:val="center"/>
          </w:tcPr>
          <w:p>
            <w:pPr>
              <w:autoSpaceDE w:val="0"/>
              <w:autoSpaceDN w:val="0"/>
              <w:adjustRightInd w:val="0"/>
              <w:snapToGrid w:val="0"/>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pct"/>
            <w:vAlign w:val="center"/>
          </w:tcPr>
          <w:p>
            <w:pPr>
              <w:spacing w:line="360" w:lineRule="auto"/>
              <w:jc w:val="center"/>
              <w:rPr>
                <w:rFonts w:ascii="Times New Roman" w:hAnsi="Times New Roman" w:eastAsia="宋体" w:cs="Times New Roman"/>
                <w:sz w:val="24"/>
              </w:rPr>
            </w:pPr>
            <w:r>
              <w:rPr>
                <w:rFonts w:ascii="Times New Roman" w:hAnsi="Times New Roman" w:eastAsia="宋体" w:cs="Times New Roman"/>
                <w:sz w:val="24"/>
              </w:rPr>
              <w:t>其他符合性分析</w:t>
            </w:r>
          </w:p>
        </w:tc>
        <w:tc>
          <w:tcPr>
            <w:tcW w:w="4272" w:type="pct"/>
            <w:gridSpan w:val="3"/>
            <w:vAlign w:val="center"/>
          </w:tcPr>
          <w:p>
            <w:pPr>
              <w:adjustRightInd w:val="0"/>
              <w:snapToGrid w:val="0"/>
              <w:spacing w:line="360" w:lineRule="auto"/>
              <w:ind w:firstLine="482" w:firstLineChars="200"/>
              <w:rPr>
                <w:rFonts w:ascii="Times New Roman" w:hAnsi="Times New Roman" w:eastAsia="宋体" w:cs="Times New Roman"/>
                <w:b/>
                <w:bCs/>
                <w:sz w:val="24"/>
              </w:rPr>
            </w:pPr>
            <w:r>
              <w:rPr>
                <w:rFonts w:ascii="Times New Roman" w:hAnsi="Times New Roman" w:eastAsia="宋体" w:cs="Times New Roman"/>
                <w:b/>
                <w:bCs/>
                <w:sz w:val="24"/>
              </w:rPr>
              <w:t>1、产业政策符合性分析</w:t>
            </w:r>
          </w:p>
          <w:p>
            <w:pPr>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本项目为</w:t>
            </w:r>
            <w:r>
              <w:rPr>
                <w:rFonts w:hint="eastAsia" w:ascii="Times New Roman" w:hAnsi="Times New Roman" w:eastAsia="宋体" w:cs="Times New Roman"/>
                <w:sz w:val="24"/>
              </w:rPr>
              <w:t>沙、石加工项目</w:t>
            </w:r>
            <w:r>
              <w:rPr>
                <w:rFonts w:ascii="Times New Roman" w:hAnsi="Times New Roman" w:eastAsia="宋体" w:cs="Times New Roman"/>
                <w:sz w:val="24"/>
                <w:lang w:val="zh-CN"/>
              </w:rPr>
              <w:t>，项目不属于高污染、高能耗和落后的生产能力、工艺、设备与产品。根据《产业结构调整指导目录（2019年本）》，本项目不属于其中限制类和淘汰类项目，属于允许类项目，项目的建设符合国家产业政策</w:t>
            </w:r>
            <w:r>
              <w:rPr>
                <w:rFonts w:ascii="Times New Roman" w:hAnsi="Times New Roman" w:eastAsia="宋体" w:cs="Times New Roman"/>
                <w:sz w:val="24"/>
              </w:rPr>
              <w:t>。</w:t>
            </w:r>
          </w:p>
          <w:p>
            <w:pPr>
              <w:adjustRightInd w:val="0"/>
              <w:snapToGrid w:val="0"/>
              <w:spacing w:line="360" w:lineRule="auto"/>
              <w:ind w:firstLine="480" w:firstLineChars="200"/>
              <w:rPr>
                <w:rFonts w:ascii="Times New Roman" w:hAnsi="Times New Roman" w:eastAsia="宋体" w:cs="Times New Roman"/>
                <w:sz w:val="24"/>
                <w:lang w:val="zh-CN"/>
              </w:rPr>
            </w:pPr>
            <w:r>
              <w:rPr>
                <w:rFonts w:ascii="Times New Roman" w:hAnsi="Times New Roman" w:eastAsia="宋体" w:cs="Times New Roman"/>
                <w:sz w:val="24"/>
              </w:rPr>
              <w:t>同时，项目已取得云县发展和改革局出具的备案证明文件，项目代码：</w:t>
            </w:r>
            <w:r>
              <w:rPr>
                <w:rFonts w:hint="eastAsia" w:ascii="Times New Roman" w:hAnsi="Times New Roman" w:eastAsia="宋体" w:cs="Times New Roman"/>
                <w:sz w:val="24"/>
              </w:rPr>
              <w:t>2310-530922-04-05-570147</w:t>
            </w:r>
            <w:r>
              <w:rPr>
                <w:rFonts w:ascii="Times New Roman" w:hAnsi="Times New Roman" w:eastAsia="宋体" w:cs="Times New Roman"/>
                <w:sz w:val="24"/>
              </w:rPr>
              <w:t>。</w:t>
            </w:r>
          </w:p>
          <w:p>
            <w:pPr>
              <w:adjustRightInd w:val="0"/>
              <w:snapToGrid w:val="0"/>
              <w:spacing w:line="360" w:lineRule="auto"/>
              <w:ind w:firstLine="480" w:firstLineChars="200"/>
              <w:rPr>
                <w:rFonts w:ascii="Times New Roman" w:hAnsi="Times New Roman" w:eastAsia="宋体" w:cs="Times New Roman"/>
                <w:sz w:val="24"/>
                <w:lang w:val="zh-CN"/>
              </w:rPr>
            </w:pPr>
            <w:r>
              <w:rPr>
                <w:rFonts w:ascii="Times New Roman" w:hAnsi="Times New Roman" w:eastAsia="宋体" w:cs="Times New Roman"/>
                <w:sz w:val="24"/>
                <w:lang w:val="zh-CN"/>
              </w:rPr>
              <w:t>因此，本项目符合国家现行产业政策。</w:t>
            </w:r>
          </w:p>
          <w:p>
            <w:pPr>
              <w:adjustRightInd w:val="0"/>
              <w:snapToGrid w:val="0"/>
              <w:spacing w:line="360" w:lineRule="auto"/>
              <w:ind w:firstLine="482" w:firstLineChars="200"/>
              <w:rPr>
                <w:rFonts w:ascii="Times New Roman" w:hAnsi="Times New Roman" w:eastAsia="宋体" w:cs="Times New Roman"/>
                <w:b/>
                <w:bCs/>
                <w:sz w:val="24"/>
              </w:rPr>
            </w:pPr>
            <w:r>
              <w:rPr>
                <w:rFonts w:ascii="Times New Roman" w:hAnsi="Times New Roman" w:eastAsia="宋体" w:cs="Times New Roman"/>
                <w:b/>
                <w:bCs/>
                <w:sz w:val="24"/>
              </w:rPr>
              <w:t>2、选址合理性分析</w:t>
            </w:r>
          </w:p>
          <w:p>
            <w:pPr>
              <w:widowControl/>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lang w:val="zh-CN"/>
              </w:rPr>
              <w:t>本项目属于新建项目，位于云县爱华镇河湾村委会马家庄组，根据</w:t>
            </w:r>
            <w:r>
              <w:rPr>
                <w:rFonts w:hint="eastAsia" w:ascii="Times New Roman" w:hAnsi="Times New Roman" w:eastAsia="宋体" w:cs="Times New Roman"/>
                <w:sz w:val="24"/>
              </w:rPr>
              <w:t>云县自然资源局出具并加盖公章的土地利用现状图中表明，项目占地类型主要为工业用地2677.08m</w:t>
            </w:r>
            <w:r>
              <w:rPr>
                <w:rFonts w:hint="eastAsia" w:ascii="Times New Roman" w:hAnsi="Times New Roman" w:eastAsia="宋体" w:cs="Times New Roman"/>
                <w:sz w:val="24"/>
                <w:vertAlign w:val="superscript"/>
              </w:rPr>
              <w:t>2</w:t>
            </w:r>
            <w:r>
              <w:rPr>
                <w:rFonts w:hint="eastAsia" w:ascii="Times New Roman" w:hAnsi="Times New Roman" w:eastAsia="宋体" w:cs="Times New Roman"/>
                <w:sz w:val="24"/>
              </w:rPr>
              <w:t>，内陆滩涂2585.23m</w:t>
            </w:r>
            <w:r>
              <w:rPr>
                <w:rFonts w:hint="eastAsia" w:ascii="Times New Roman" w:hAnsi="Times New Roman" w:eastAsia="宋体" w:cs="Times New Roman"/>
                <w:sz w:val="24"/>
                <w:vertAlign w:val="superscript"/>
              </w:rPr>
              <w:t>2</w:t>
            </w:r>
            <w:r>
              <w:rPr>
                <w:rFonts w:hint="eastAsia" w:ascii="Times New Roman" w:hAnsi="Times New Roman" w:eastAsia="宋体" w:cs="Times New Roman"/>
                <w:sz w:val="24"/>
              </w:rPr>
              <w:t>，其他草地3965.70m</w:t>
            </w:r>
            <w:r>
              <w:rPr>
                <w:rFonts w:hint="eastAsia" w:ascii="Times New Roman" w:hAnsi="Times New Roman" w:eastAsia="宋体" w:cs="Times New Roman"/>
                <w:sz w:val="24"/>
                <w:vertAlign w:val="superscript"/>
              </w:rPr>
              <w:t>2</w:t>
            </w:r>
            <w:r>
              <w:rPr>
                <w:rFonts w:hint="eastAsia" w:ascii="Times New Roman" w:hAnsi="Times New Roman" w:eastAsia="宋体" w:cs="Times New Roman"/>
                <w:sz w:val="24"/>
              </w:rPr>
              <w:t>，其他林地176.48m</w:t>
            </w:r>
            <w:r>
              <w:rPr>
                <w:rFonts w:hint="eastAsia" w:ascii="Times New Roman" w:hAnsi="Times New Roman" w:eastAsia="宋体" w:cs="Times New Roman"/>
                <w:sz w:val="24"/>
                <w:vertAlign w:val="superscript"/>
              </w:rPr>
              <w:t>2</w:t>
            </w:r>
            <w:r>
              <w:rPr>
                <w:rFonts w:ascii="Times New Roman" w:hAnsi="Times New Roman" w:eastAsia="宋体" w:cs="Times New Roman"/>
                <w:sz w:val="24"/>
                <w:lang w:val="zh-CN"/>
              </w:rPr>
              <w:t>，不占用生态红线</w:t>
            </w:r>
            <w:r>
              <w:rPr>
                <w:rFonts w:hint="eastAsia" w:ascii="Times New Roman" w:hAnsi="Times New Roman" w:eastAsia="宋体" w:cs="Times New Roman"/>
                <w:sz w:val="24"/>
              </w:rPr>
              <w:t>及基本农田。根据现场踏勘工业用地处盖有钢架结构工业厂房，其余地块为空地，暂时未开发利用。</w:t>
            </w:r>
            <w:r>
              <w:rPr>
                <w:rFonts w:ascii="Times New Roman" w:hAnsi="Times New Roman" w:eastAsia="宋体" w:cs="Times New Roman"/>
                <w:sz w:val="24"/>
                <w:lang w:val="zh-CN"/>
              </w:rPr>
              <w:t>根据</w:t>
            </w:r>
            <w:r>
              <w:rPr>
                <w:rFonts w:hint="eastAsia" w:ascii="Times New Roman" w:hAnsi="Times New Roman" w:eastAsia="宋体" w:cs="Times New Roman"/>
                <w:sz w:val="24"/>
              </w:rPr>
              <w:t>云县自然资源局出具并加盖公章的土地利用现状图中明确表明未占用耕地保护目标、未占用基本农田保护区与生态保护红线。且该项目已获得临沧市生态环境云县分局、云县水务局、云县自然资源局的复函，同意该项目建设。</w:t>
            </w:r>
          </w:p>
          <w:p>
            <w:pPr>
              <w:widowControl/>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lang w:val="zh-CN"/>
              </w:rPr>
              <w:t>项目周围50m范围内无声环境保护目标，厂界外500米范围内无地下水集中式饮用水水源和热水、矿泉水、温泉等特殊地下水资源。项目周边为工业</w:t>
            </w:r>
            <w:r>
              <w:rPr>
                <w:rFonts w:hint="eastAsia" w:ascii="Times New Roman" w:hAnsi="Times New Roman" w:eastAsia="宋体" w:cs="Times New Roman"/>
                <w:sz w:val="24"/>
                <w:lang w:val="zh-CN"/>
              </w:rPr>
              <w:t>、</w:t>
            </w:r>
            <w:r>
              <w:rPr>
                <w:rFonts w:hint="eastAsia" w:ascii="Times New Roman" w:hAnsi="Times New Roman" w:eastAsia="宋体" w:cs="Times New Roman"/>
                <w:sz w:val="24"/>
              </w:rPr>
              <w:t>商业用地</w:t>
            </w:r>
            <w:r>
              <w:rPr>
                <w:rFonts w:ascii="Times New Roman" w:hAnsi="Times New Roman" w:eastAsia="宋体" w:cs="Times New Roman"/>
                <w:sz w:val="24"/>
                <w:lang w:val="zh-CN"/>
              </w:rPr>
              <w:t>等，与周边环境有较强的兼容性，敏感点距离生产区域较远，同时项目本身加大了环境保护的治理力度，从设计上考虑了对项目“三废”及噪声的治理，使污染物达标排放，项目建成投产对周围环境造成的影响不大，不会改变原有环境空气、地表水、声环境的功能，从环保角度来看，项目选址是合理的。</w:t>
            </w:r>
          </w:p>
          <w:p>
            <w:pPr>
              <w:pStyle w:val="18"/>
              <w:adjustRightInd w:val="0"/>
              <w:snapToGrid w:val="0"/>
              <w:spacing w:line="360" w:lineRule="auto"/>
              <w:ind w:firstLine="482" w:firstLineChars="200"/>
              <w:rPr>
                <w:rFonts w:ascii="Times New Roman" w:hAnsi="Times New Roman" w:eastAsia="宋体" w:cs="Times New Roman"/>
                <w:b/>
                <w:bCs/>
                <w:sz w:val="24"/>
              </w:rPr>
            </w:pPr>
            <w:r>
              <w:rPr>
                <w:rFonts w:ascii="Times New Roman" w:hAnsi="Times New Roman" w:eastAsia="宋体" w:cs="Times New Roman"/>
                <w:b/>
                <w:bCs/>
                <w:sz w:val="24"/>
              </w:rPr>
              <w:t>3、总平面布置合理性分析</w:t>
            </w:r>
          </w:p>
          <w:p>
            <w:pPr>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项目区位于</w:t>
            </w:r>
            <w:r>
              <w:rPr>
                <w:rFonts w:ascii="Times New Roman" w:hAnsi="Times New Roman" w:eastAsia="宋体" w:cs="Times New Roman"/>
                <w:sz w:val="24"/>
                <w:lang w:val="zh-CN"/>
              </w:rPr>
              <w:t>云县爱华镇河湾村委会马家庄组</w:t>
            </w:r>
            <w:r>
              <w:rPr>
                <w:rFonts w:ascii="Times New Roman" w:hAnsi="Times New Roman" w:eastAsia="宋体" w:cs="Times New Roman"/>
                <w:sz w:val="24"/>
              </w:rPr>
              <w:t>，西</w:t>
            </w:r>
            <w:r>
              <w:rPr>
                <w:rFonts w:hint="eastAsia" w:ascii="Times New Roman" w:hAnsi="Times New Roman" w:eastAsia="宋体" w:cs="Times New Roman"/>
                <w:sz w:val="24"/>
              </w:rPr>
              <w:t>侧紧邻东泸线（云凤公路）</w:t>
            </w:r>
            <w:r>
              <w:rPr>
                <w:rFonts w:ascii="Times New Roman" w:hAnsi="Times New Roman" w:eastAsia="宋体" w:cs="Times New Roman"/>
                <w:sz w:val="24"/>
              </w:rPr>
              <w:t>，交通十分便利。</w:t>
            </w:r>
          </w:p>
          <w:p>
            <w:pPr>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厂区布置按照原料</w:t>
            </w:r>
            <w:r>
              <w:rPr>
                <w:rFonts w:hint="eastAsia" w:ascii="Times New Roman" w:hAnsi="Times New Roman" w:eastAsia="宋体" w:cs="Times New Roman"/>
                <w:sz w:val="24"/>
              </w:rPr>
              <w:t>堆场</w:t>
            </w:r>
            <w:r>
              <w:rPr>
                <w:rFonts w:ascii="Times New Roman" w:hAnsi="Times New Roman" w:eastAsia="宋体" w:cs="Times New Roman"/>
                <w:sz w:val="24"/>
              </w:rPr>
              <w:t>→</w:t>
            </w:r>
            <w:r>
              <w:rPr>
                <w:rFonts w:hint="eastAsia" w:ascii="Times New Roman" w:hAnsi="Times New Roman" w:eastAsia="宋体" w:cs="Times New Roman"/>
                <w:sz w:val="24"/>
              </w:rPr>
              <w:t>破碎加工区</w:t>
            </w:r>
            <w:r>
              <w:rPr>
                <w:rFonts w:ascii="Times New Roman" w:hAnsi="Times New Roman" w:eastAsia="宋体" w:cs="Times New Roman"/>
                <w:sz w:val="24"/>
              </w:rPr>
              <w:t>→</w:t>
            </w:r>
            <w:r>
              <w:rPr>
                <w:rFonts w:hint="eastAsia" w:ascii="Times New Roman" w:hAnsi="Times New Roman" w:eastAsia="宋体" w:cs="Times New Roman"/>
                <w:sz w:val="24"/>
              </w:rPr>
              <w:t>洗沙区</w:t>
            </w:r>
            <w:r>
              <w:rPr>
                <w:rFonts w:ascii="Times New Roman" w:hAnsi="Times New Roman" w:eastAsia="宋体" w:cs="Times New Roman"/>
                <w:sz w:val="24"/>
              </w:rPr>
              <w:t>→</w:t>
            </w:r>
            <w:r>
              <w:rPr>
                <w:rFonts w:hint="eastAsia" w:ascii="Times New Roman" w:hAnsi="Times New Roman" w:eastAsia="宋体" w:cs="Times New Roman"/>
                <w:sz w:val="24"/>
              </w:rPr>
              <w:t>成品堆场</w:t>
            </w:r>
            <w:r>
              <w:rPr>
                <w:rFonts w:ascii="Times New Roman" w:hAnsi="Times New Roman" w:eastAsia="宋体" w:cs="Times New Roman"/>
                <w:sz w:val="24"/>
              </w:rPr>
              <w:t>分布</w:t>
            </w:r>
            <w:r>
              <w:rPr>
                <w:rFonts w:hint="eastAsia" w:ascii="Times New Roman" w:hAnsi="Times New Roman" w:eastAsia="宋体" w:cs="Times New Roman"/>
                <w:sz w:val="24"/>
              </w:rPr>
              <w:t>；</w:t>
            </w:r>
            <w:r>
              <w:rPr>
                <w:rFonts w:ascii="Times New Roman" w:hAnsi="Times New Roman" w:eastAsia="宋体" w:cs="Times New Roman"/>
                <w:sz w:val="24"/>
              </w:rPr>
              <w:t>厂区内的原料</w:t>
            </w:r>
            <w:r>
              <w:rPr>
                <w:rFonts w:hint="eastAsia" w:ascii="Times New Roman" w:hAnsi="Times New Roman" w:eastAsia="宋体" w:cs="Times New Roman"/>
                <w:sz w:val="24"/>
              </w:rPr>
              <w:t>堆场</w:t>
            </w:r>
            <w:r>
              <w:rPr>
                <w:rFonts w:ascii="Times New Roman" w:hAnsi="Times New Roman" w:eastAsia="宋体" w:cs="Times New Roman"/>
                <w:sz w:val="24"/>
              </w:rPr>
              <w:t>位于厂区北侧，紧邻厂区</w:t>
            </w:r>
            <w:r>
              <w:rPr>
                <w:rFonts w:hint="eastAsia" w:ascii="Times New Roman" w:hAnsi="Times New Roman" w:eastAsia="宋体" w:cs="Times New Roman"/>
                <w:sz w:val="24"/>
              </w:rPr>
              <w:t>西</w:t>
            </w:r>
            <w:r>
              <w:rPr>
                <w:rFonts w:ascii="Times New Roman" w:hAnsi="Times New Roman" w:eastAsia="宋体" w:cs="Times New Roman"/>
                <w:sz w:val="24"/>
              </w:rPr>
              <w:t>侧的成品</w:t>
            </w:r>
            <w:r>
              <w:rPr>
                <w:rFonts w:hint="eastAsia" w:ascii="Times New Roman" w:hAnsi="Times New Roman" w:eastAsia="宋体" w:cs="Times New Roman"/>
                <w:sz w:val="24"/>
              </w:rPr>
              <w:t>堆场</w:t>
            </w:r>
            <w:r>
              <w:rPr>
                <w:rFonts w:ascii="Times New Roman" w:hAnsi="Times New Roman" w:eastAsia="宋体" w:cs="Times New Roman"/>
                <w:sz w:val="24"/>
              </w:rPr>
              <w:t>，与厂区内主干道相连，方便原料和</w:t>
            </w:r>
            <w:r>
              <w:rPr>
                <w:rFonts w:hint="eastAsia" w:ascii="Times New Roman" w:hAnsi="Times New Roman" w:eastAsia="宋体" w:cs="Times New Roman"/>
                <w:sz w:val="24"/>
              </w:rPr>
              <w:t>成</w:t>
            </w:r>
            <w:r>
              <w:rPr>
                <w:rFonts w:ascii="Times New Roman" w:hAnsi="Times New Roman" w:eastAsia="宋体" w:cs="Times New Roman"/>
                <w:sz w:val="24"/>
              </w:rPr>
              <w:t>品的运输</w:t>
            </w:r>
            <w:r>
              <w:rPr>
                <w:rFonts w:hint="eastAsia" w:ascii="Times New Roman" w:hAnsi="Times New Roman" w:eastAsia="宋体" w:cs="Times New Roman"/>
                <w:sz w:val="24"/>
              </w:rPr>
              <w:t>；在地势低洼处设置洗沙区及沉淀池，洗沙废水顺流至沉淀池内。</w:t>
            </w:r>
          </w:p>
          <w:p>
            <w:pPr>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本项目车间布局紧密，符合整体工艺布局具有连续性的生产特点；作为运输道路的厂区主干道已进行硬化。项目平面布置合理可行。</w:t>
            </w:r>
          </w:p>
          <w:p>
            <w:pPr>
              <w:autoSpaceDE w:val="0"/>
              <w:autoSpaceDN w:val="0"/>
              <w:adjustRightInd w:val="0"/>
              <w:snapToGrid w:val="0"/>
              <w:spacing w:line="360" w:lineRule="auto"/>
              <w:ind w:firstLine="482" w:firstLineChars="200"/>
              <w:rPr>
                <w:rFonts w:ascii="Times New Roman" w:hAnsi="Times New Roman" w:eastAsia="宋体" w:cs="Times New Roman"/>
                <w:b/>
                <w:bCs/>
                <w:sz w:val="24"/>
              </w:rPr>
            </w:pPr>
            <w:r>
              <w:rPr>
                <w:rFonts w:ascii="Times New Roman" w:hAnsi="Times New Roman" w:eastAsia="宋体" w:cs="Times New Roman"/>
                <w:b/>
                <w:bCs/>
                <w:sz w:val="24"/>
              </w:rPr>
              <w:t>4、与“三线一单”的符合性分析</w:t>
            </w:r>
          </w:p>
          <w:p>
            <w:pPr>
              <w:adjustRightInd w:val="0"/>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表1-</w:t>
            </w:r>
            <w:r>
              <w:rPr>
                <w:rFonts w:hint="eastAsia" w:ascii="Times New Roman" w:hAnsi="Times New Roman" w:eastAsia="宋体" w:cs="Times New Roman"/>
                <w:b/>
                <w:bCs/>
                <w:szCs w:val="21"/>
              </w:rPr>
              <w:t xml:space="preserve">2 </w:t>
            </w:r>
            <w:r>
              <w:rPr>
                <w:rFonts w:ascii="Times New Roman" w:hAnsi="Times New Roman" w:eastAsia="宋体" w:cs="Times New Roman"/>
                <w:b/>
                <w:bCs/>
                <w:szCs w:val="21"/>
              </w:rPr>
              <w:t xml:space="preserve"> 项目与“三线一单”相符性分析</w:t>
            </w:r>
          </w:p>
          <w:tbl>
            <w:tblPr>
              <w:tblStyle w:val="29"/>
              <w:tblW w:w="70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60"/>
              <w:gridCol w:w="571"/>
              <w:gridCol w:w="2783"/>
              <w:gridCol w:w="2195"/>
              <w:gridCol w:w="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31" w:type="dxa"/>
                  <w:gridSpan w:val="2"/>
                  <w:vAlign w:val="center"/>
                </w:tcPr>
                <w:p>
                  <w:pPr>
                    <w:autoSpaceDE w:val="0"/>
                    <w:autoSpaceDN w:val="0"/>
                    <w:adjustRightInd w:val="0"/>
                    <w:snapToGrid w:val="0"/>
                    <w:jc w:val="center"/>
                    <w:rPr>
                      <w:rFonts w:ascii="Times New Roman" w:hAnsi="Times New Roman" w:eastAsia="宋体" w:cs="Times New Roman"/>
                      <w:b/>
                      <w:bCs/>
                      <w:szCs w:val="21"/>
                      <w:lang w:val="zh-CN"/>
                    </w:rPr>
                  </w:pPr>
                  <w:r>
                    <w:rPr>
                      <w:rFonts w:ascii="Times New Roman" w:hAnsi="Times New Roman" w:eastAsia="宋体" w:cs="Times New Roman"/>
                      <w:b/>
                      <w:bCs/>
                      <w:szCs w:val="21"/>
                      <w:lang w:val="zh-CN"/>
                    </w:rPr>
                    <w:t>项目</w:t>
                  </w:r>
                </w:p>
              </w:tc>
              <w:tc>
                <w:tcPr>
                  <w:tcW w:w="2783" w:type="dxa"/>
                  <w:vAlign w:val="center"/>
                </w:tcPr>
                <w:p>
                  <w:pPr>
                    <w:autoSpaceDE w:val="0"/>
                    <w:autoSpaceDN w:val="0"/>
                    <w:adjustRightInd w:val="0"/>
                    <w:snapToGrid w:val="0"/>
                    <w:jc w:val="center"/>
                    <w:rPr>
                      <w:rFonts w:ascii="Times New Roman" w:hAnsi="Times New Roman" w:eastAsia="宋体" w:cs="Times New Roman"/>
                      <w:b/>
                      <w:bCs/>
                      <w:szCs w:val="21"/>
                      <w:lang w:val="zh-CN"/>
                    </w:rPr>
                  </w:pPr>
                  <w:r>
                    <w:rPr>
                      <w:rFonts w:ascii="Times New Roman" w:hAnsi="Times New Roman" w:eastAsia="宋体" w:cs="Times New Roman"/>
                      <w:b/>
                      <w:bCs/>
                      <w:szCs w:val="21"/>
                      <w:lang w:val="zh-CN"/>
                    </w:rPr>
                    <w:t>与本项目相关条例</w:t>
                  </w:r>
                </w:p>
              </w:tc>
              <w:tc>
                <w:tcPr>
                  <w:tcW w:w="2195" w:type="dxa"/>
                  <w:vAlign w:val="center"/>
                </w:tcPr>
                <w:p>
                  <w:pPr>
                    <w:autoSpaceDE w:val="0"/>
                    <w:autoSpaceDN w:val="0"/>
                    <w:adjustRightInd w:val="0"/>
                    <w:snapToGrid w:val="0"/>
                    <w:jc w:val="center"/>
                    <w:rPr>
                      <w:rFonts w:ascii="Times New Roman" w:hAnsi="Times New Roman" w:eastAsia="宋体" w:cs="Times New Roman"/>
                      <w:b/>
                      <w:bCs/>
                      <w:szCs w:val="21"/>
                      <w:lang w:val="zh-CN"/>
                    </w:rPr>
                  </w:pPr>
                  <w:r>
                    <w:rPr>
                      <w:rFonts w:ascii="Times New Roman" w:hAnsi="Times New Roman" w:eastAsia="宋体" w:cs="Times New Roman"/>
                      <w:b/>
                      <w:bCs/>
                      <w:szCs w:val="21"/>
                      <w:lang w:val="zh-CN"/>
                    </w:rPr>
                    <w:t>项目情况</w:t>
                  </w:r>
                </w:p>
              </w:tc>
              <w:tc>
                <w:tcPr>
                  <w:tcW w:w="770" w:type="dxa"/>
                  <w:vAlign w:val="center"/>
                </w:tcPr>
                <w:p>
                  <w:pPr>
                    <w:autoSpaceDE w:val="0"/>
                    <w:autoSpaceDN w:val="0"/>
                    <w:adjustRightInd w:val="0"/>
                    <w:snapToGrid w:val="0"/>
                    <w:jc w:val="center"/>
                    <w:rPr>
                      <w:rFonts w:ascii="Times New Roman" w:hAnsi="Times New Roman" w:eastAsia="宋体" w:cs="Times New Roman"/>
                      <w:b/>
                      <w:bCs/>
                      <w:szCs w:val="21"/>
                      <w:lang w:val="zh-CN"/>
                    </w:rPr>
                  </w:pPr>
                  <w:r>
                    <w:rPr>
                      <w:rFonts w:ascii="Times New Roman" w:hAnsi="Times New Roman" w:eastAsia="宋体" w:cs="Times New Roman"/>
                      <w:b/>
                      <w:bCs/>
                      <w:szCs w:val="21"/>
                      <w:lang w:val="zh-CN"/>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92" w:hRule="atLeast"/>
                <w:jc w:val="center"/>
              </w:trPr>
              <w:tc>
                <w:tcPr>
                  <w:tcW w:w="760" w:type="dxa"/>
                  <w:vMerge w:val="restart"/>
                  <w:vAlign w:val="center"/>
                </w:tcPr>
                <w:p>
                  <w:pPr>
                    <w:autoSpaceDE w:val="0"/>
                    <w:autoSpaceDN w:val="0"/>
                    <w:adjustRightInd w:val="0"/>
                    <w:snapToGrid w:val="0"/>
                    <w:jc w:val="center"/>
                    <w:rPr>
                      <w:rFonts w:ascii="Times New Roman" w:hAnsi="Times New Roman" w:eastAsia="宋体" w:cs="Times New Roman"/>
                      <w:szCs w:val="21"/>
                      <w:lang w:val="zh-CN"/>
                    </w:rPr>
                  </w:pPr>
                  <w:r>
                    <w:rPr>
                      <w:rFonts w:ascii="Times New Roman" w:hAnsi="Times New Roman" w:eastAsia="宋体" w:cs="Times New Roman"/>
                      <w:szCs w:val="21"/>
                    </w:rPr>
                    <w:t>“临沧市“三线一单”生态环境分区管控实施方案”，临政发〔2021〕24号</w:t>
                  </w:r>
                </w:p>
              </w:tc>
              <w:tc>
                <w:tcPr>
                  <w:tcW w:w="571" w:type="dxa"/>
                  <w:vMerge w:val="restart"/>
                  <w:vAlign w:val="center"/>
                </w:tcPr>
                <w:p>
                  <w:pPr>
                    <w:widowControl/>
                    <w:adjustRightInd w:val="0"/>
                    <w:snapToGrid w:val="0"/>
                    <w:jc w:val="left"/>
                    <w:rPr>
                      <w:rFonts w:ascii="Times New Roman" w:hAnsi="Times New Roman" w:eastAsia="宋体" w:cs="Times New Roman"/>
                      <w:szCs w:val="21"/>
                      <w:lang w:val="zh-CN"/>
                    </w:rPr>
                  </w:pPr>
                  <w:r>
                    <w:rPr>
                      <w:rFonts w:ascii="Times New Roman" w:hAnsi="Times New Roman" w:eastAsia="宋体" w:cs="Times New Roman"/>
                      <w:szCs w:val="21"/>
                      <w:lang w:val="zh-CN"/>
                    </w:rPr>
                    <w:t>云县大气环境弱扩散重点管控单元</w:t>
                  </w:r>
                </w:p>
              </w:tc>
              <w:tc>
                <w:tcPr>
                  <w:tcW w:w="2783" w:type="dxa"/>
                  <w:vAlign w:val="center"/>
                </w:tcPr>
                <w:p>
                  <w:pPr>
                    <w:pStyle w:val="54"/>
                    <w:adjustRightInd w:val="0"/>
                    <w:snapToGrid w:val="0"/>
                    <w:jc w:val="both"/>
                    <w:rPr>
                      <w:rFonts w:ascii="Times New Roman" w:hAnsi="Times New Roman" w:cs="Times New Roman"/>
                      <w:sz w:val="21"/>
                      <w:szCs w:val="21"/>
                      <w:lang w:val="zh-CN"/>
                    </w:rPr>
                  </w:pPr>
                  <w:r>
                    <w:rPr>
                      <w:rFonts w:ascii="Times New Roman" w:hAnsi="Times New Roman" w:cs="Times New Roman"/>
                      <w:sz w:val="21"/>
                      <w:szCs w:val="21"/>
                      <w:lang w:val="zh-CN"/>
                    </w:rPr>
                    <w:t>空间布局约束</w:t>
                  </w:r>
                </w:p>
                <w:p>
                  <w:pPr>
                    <w:widowControl/>
                    <w:adjustRightInd w:val="0"/>
                    <w:snapToGrid w:val="0"/>
                    <w:rPr>
                      <w:rFonts w:ascii="Times New Roman" w:hAnsi="Times New Roman" w:eastAsia="宋体" w:cs="Times New Roman"/>
                      <w:szCs w:val="21"/>
                      <w:lang w:val="zh-CN"/>
                    </w:rPr>
                  </w:pPr>
                  <w:r>
                    <w:rPr>
                      <w:rFonts w:ascii="Times New Roman" w:hAnsi="Times New Roman" w:eastAsia="宋体" w:cs="Times New Roman"/>
                      <w:szCs w:val="21"/>
                    </w:rPr>
                    <w:t>1．执行《云南省人民政府关于实施“三线一单”生态环境分区管控的意见》和《临沧市生态环境管控总体要求》相关要求。2．限制新（改、扩）建燃煤电厂、钢铁、水泥、有色冶炼、铁合金冶炼、石化、化工等对大气污染严重的项目，确需建设该类项目应严格进行科学论证，确保不对周边敏感目标造成严重环境影响。</w:t>
                  </w:r>
                </w:p>
              </w:tc>
              <w:tc>
                <w:tcPr>
                  <w:tcW w:w="2195" w:type="dxa"/>
                  <w:vAlign w:val="center"/>
                </w:tcPr>
                <w:p>
                  <w:pPr>
                    <w:autoSpaceDE w:val="0"/>
                    <w:autoSpaceDN w:val="0"/>
                    <w:adjustRightInd w:val="0"/>
                    <w:snapToGrid w:val="0"/>
                    <w:rPr>
                      <w:rFonts w:ascii="Times New Roman" w:hAnsi="Times New Roman" w:eastAsia="宋体" w:cs="Times New Roman"/>
                      <w:szCs w:val="21"/>
                    </w:rPr>
                  </w:pPr>
                  <w:r>
                    <w:rPr>
                      <w:rFonts w:hint="eastAsia" w:ascii="Times New Roman" w:hAnsi="Times New Roman" w:eastAsia="宋体" w:cs="Times New Roman"/>
                      <w:szCs w:val="21"/>
                    </w:rPr>
                    <w:t>1.</w:t>
                  </w:r>
                  <w:r>
                    <w:rPr>
                      <w:rFonts w:ascii="Times New Roman" w:hAnsi="Times New Roman" w:eastAsia="宋体" w:cs="Times New Roman"/>
                      <w:szCs w:val="21"/>
                      <w:lang w:val="zh-CN"/>
                    </w:rPr>
                    <w:t>本项目位于云县爱华镇河湾村委会马家庄组</w:t>
                  </w:r>
                  <w:r>
                    <w:rPr>
                      <w:rFonts w:hint="eastAsia" w:ascii="Times New Roman" w:hAnsi="Times New Roman" w:eastAsia="宋体" w:cs="Times New Roman"/>
                      <w:szCs w:val="21"/>
                      <w:lang w:val="zh-CN"/>
                    </w:rPr>
                    <w:t>，</w:t>
                  </w:r>
                  <w:r>
                    <w:rPr>
                      <w:rFonts w:hint="eastAsia" w:ascii="Times New Roman" w:hAnsi="Times New Roman" w:eastAsia="宋体" w:cs="Times New Roman"/>
                      <w:szCs w:val="21"/>
                    </w:rPr>
                    <w:t>不涉及生态红线及基本农田</w:t>
                  </w:r>
                  <w:r>
                    <w:rPr>
                      <w:rFonts w:ascii="Times New Roman" w:hAnsi="Times New Roman" w:eastAsia="宋体" w:cs="Times New Roman"/>
                      <w:szCs w:val="21"/>
                    </w:rPr>
                    <w:t>。</w:t>
                  </w:r>
                </w:p>
                <w:p>
                  <w:pPr>
                    <w:autoSpaceDE w:val="0"/>
                    <w:autoSpaceDN w:val="0"/>
                    <w:adjustRightInd w:val="0"/>
                    <w:snapToGrid w:val="0"/>
                    <w:rPr>
                      <w:rFonts w:ascii="Times New Roman" w:hAnsi="Times New Roman" w:eastAsia="宋体" w:cs="Times New Roman"/>
                      <w:szCs w:val="21"/>
                    </w:rPr>
                  </w:pPr>
                  <w:r>
                    <w:rPr>
                      <w:rFonts w:hint="eastAsia" w:ascii="Times New Roman" w:hAnsi="Times New Roman" w:eastAsia="宋体" w:cs="Times New Roman"/>
                      <w:szCs w:val="21"/>
                    </w:rPr>
                    <w:t>2.</w:t>
                  </w:r>
                  <w:r>
                    <w:rPr>
                      <w:rFonts w:ascii="Times New Roman" w:hAnsi="Times New Roman" w:eastAsia="宋体" w:cs="Times New Roman"/>
                      <w:szCs w:val="21"/>
                      <w:lang w:val="zh-CN"/>
                    </w:rPr>
                    <w:t>本项目</w:t>
                  </w:r>
                  <w:r>
                    <w:rPr>
                      <w:rFonts w:hint="eastAsia" w:ascii="Times New Roman" w:hAnsi="Times New Roman" w:eastAsia="宋体" w:cs="Times New Roman"/>
                      <w:szCs w:val="21"/>
                    </w:rPr>
                    <w:t>为沙、石加工项目，</w:t>
                  </w:r>
                  <w:r>
                    <w:rPr>
                      <w:rFonts w:ascii="Times New Roman" w:hAnsi="Times New Roman" w:eastAsia="宋体" w:cs="Times New Roman"/>
                      <w:szCs w:val="21"/>
                      <w:lang w:val="zh-CN"/>
                    </w:rPr>
                    <w:t>产生的废气主要为</w:t>
                  </w:r>
                  <w:r>
                    <w:rPr>
                      <w:rFonts w:ascii="Times New Roman" w:hAnsi="Times New Roman" w:eastAsia="宋体" w:cs="Times New Roman"/>
                      <w:szCs w:val="21"/>
                    </w:rPr>
                    <w:t>粉尘，处理后对环境影响较小；产生的废水为循环使用，不外排。</w:t>
                  </w:r>
                  <w:r>
                    <w:rPr>
                      <w:rFonts w:hint="eastAsia" w:ascii="Times New Roman" w:hAnsi="Times New Roman" w:eastAsia="宋体" w:cs="Times New Roman"/>
                      <w:szCs w:val="21"/>
                    </w:rPr>
                    <w:t>不属于</w:t>
                  </w:r>
                  <w:r>
                    <w:rPr>
                      <w:rFonts w:ascii="Times New Roman" w:hAnsi="Times New Roman" w:eastAsia="宋体" w:cs="Times New Roman"/>
                      <w:szCs w:val="21"/>
                    </w:rPr>
                    <w:t>大气污染严重的项目</w:t>
                  </w:r>
                  <w:r>
                    <w:rPr>
                      <w:rFonts w:hint="eastAsia" w:ascii="Times New Roman" w:hAnsi="Times New Roman" w:eastAsia="宋体" w:cs="Times New Roman"/>
                      <w:szCs w:val="21"/>
                    </w:rPr>
                    <w:t>。</w:t>
                  </w:r>
                </w:p>
              </w:tc>
              <w:tc>
                <w:tcPr>
                  <w:tcW w:w="770" w:type="dxa"/>
                  <w:vAlign w:val="center"/>
                </w:tcPr>
                <w:p>
                  <w:pPr>
                    <w:autoSpaceDE w:val="0"/>
                    <w:autoSpaceDN w:val="0"/>
                    <w:adjustRightInd w:val="0"/>
                    <w:snapToGrid w:val="0"/>
                    <w:jc w:val="center"/>
                    <w:rPr>
                      <w:rFonts w:ascii="Times New Roman" w:hAnsi="Times New Roman" w:eastAsia="宋体" w:cs="Times New Roman"/>
                      <w:szCs w:val="21"/>
                      <w:lang w:val="zh-CN"/>
                    </w:rPr>
                  </w:pPr>
                  <w:r>
                    <w:rPr>
                      <w:rFonts w:ascii="Times New Roman" w:hAnsi="Times New Roman" w:eastAsia="宋体" w:cs="Times New Roman"/>
                      <w:szCs w:val="21"/>
                      <w:lang w:val="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6" w:hRule="atLeast"/>
                <w:jc w:val="center"/>
              </w:trPr>
              <w:tc>
                <w:tcPr>
                  <w:tcW w:w="760" w:type="dxa"/>
                  <w:vMerge w:val="continue"/>
                  <w:vAlign w:val="center"/>
                </w:tcPr>
                <w:p>
                  <w:pPr>
                    <w:autoSpaceDE w:val="0"/>
                    <w:autoSpaceDN w:val="0"/>
                    <w:adjustRightInd w:val="0"/>
                    <w:snapToGrid w:val="0"/>
                    <w:jc w:val="center"/>
                    <w:rPr>
                      <w:rFonts w:ascii="Times New Roman" w:hAnsi="Times New Roman" w:eastAsia="宋体" w:cs="Times New Roman"/>
                      <w:szCs w:val="21"/>
                      <w:lang w:val="zh-CN"/>
                    </w:rPr>
                  </w:pPr>
                </w:p>
              </w:tc>
              <w:tc>
                <w:tcPr>
                  <w:tcW w:w="571" w:type="dxa"/>
                  <w:vMerge w:val="continue"/>
                  <w:vAlign w:val="center"/>
                </w:tcPr>
                <w:p>
                  <w:pPr>
                    <w:pStyle w:val="54"/>
                    <w:adjustRightInd w:val="0"/>
                    <w:snapToGrid w:val="0"/>
                    <w:jc w:val="both"/>
                    <w:rPr>
                      <w:rFonts w:ascii="Times New Roman" w:hAnsi="Times New Roman" w:cs="Times New Roman"/>
                      <w:sz w:val="21"/>
                      <w:szCs w:val="21"/>
                      <w:lang w:val="zh-CN"/>
                    </w:rPr>
                  </w:pPr>
                </w:p>
              </w:tc>
              <w:tc>
                <w:tcPr>
                  <w:tcW w:w="2783" w:type="dxa"/>
                  <w:vAlign w:val="center"/>
                </w:tcPr>
                <w:p>
                  <w:pPr>
                    <w:pStyle w:val="54"/>
                    <w:adjustRightInd w:val="0"/>
                    <w:snapToGrid w:val="0"/>
                    <w:jc w:val="both"/>
                    <w:rPr>
                      <w:rFonts w:ascii="Times New Roman" w:hAnsi="Times New Roman" w:cs="Times New Roman"/>
                      <w:sz w:val="21"/>
                      <w:szCs w:val="21"/>
                      <w:lang w:val="zh-CN"/>
                    </w:rPr>
                  </w:pPr>
                  <w:r>
                    <w:rPr>
                      <w:rFonts w:ascii="Times New Roman" w:hAnsi="Times New Roman" w:cs="Times New Roman"/>
                      <w:sz w:val="21"/>
                      <w:szCs w:val="21"/>
                      <w:lang w:val="zh-CN"/>
                    </w:rPr>
                    <w:t>污染物排放管控</w:t>
                  </w:r>
                </w:p>
                <w:p>
                  <w:pPr>
                    <w:widowControl/>
                    <w:adjustRightInd w:val="0"/>
                    <w:snapToGrid w:val="0"/>
                    <w:rPr>
                      <w:rFonts w:ascii="Times New Roman" w:hAnsi="Times New Roman" w:eastAsia="宋体" w:cs="Times New Roman"/>
                      <w:szCs w:val="21"/>
                      <w:lang w:val="zh-CN"/>
                    </w:rPr>
                  </w:pPr>
                  <w:r>
                    <w:rPr>
                      <w:rFonts w:ascii="Times New Roman" w:hAnsi="Times New Roman" w:eastAsia="宋体" w:cs="Times New Roman"/>
                      <w:szCs w:val="21"/>
                      <w:lang w:val="zh-CN"/>
                    </w:rPr>
                    <w:t>1．执行《云南省人民政府关于实施“三线一单”生态环境分区管控的意见》和《临沧市生态环境管控总体要求》相关要求。</w:t>
                  </w:r>
                </w:p>
              </w:tc>
              <w:tc>
                <w:tcPr>
                  <w:tcW w:w="2195" w:type="dxa"/>
                  <w:vAlign w:val="center"/>
                </w:tcPr>
                <w:p>
                  <w:pPr>
                    <w:autoSpaceDE w:val="0"/>
                    <w:autoSpaceDN w:val="0"/>
                    <w:adjustRightInd w:val="0"/>
                    <w:snapToGrid w:val="0"/>
                    <w:rPr>
                      <w:rFonts w:ascii="Times New Roman" w:hAnsi="Times New Roman" w:eastAsia="宋体" w:cs="Times New Roman"/>
                      <w:szCs w:val="21"/>
                    </w:rPr>
                  </w:pPr>
                  <w:r>
                    <w:rPr>
                      <w:rFonts w:hint="eastAsia" w:ascii="Times New Roman" w:hAnsi="Times New Roman" w:eastAsia="宋体" w:cs="Times New Roman"/>
                      <w:szCs w:val="21"/>
                    </w:rPr>
                    <w:t>1.</w:t>
                  </w:r>
                  <w:r>
                    <w:rPr>
                      <w:rFonts w:ascii="Times New Roman" w:hAnsi="Times New Roman" w:eastAsia="宋体" w:cs="Times New Roman"/>
                      <w:szCs w:val="21"/>
                      <w:lang w:val="zh-CN"/>
                    </w:rPr>
                    <w:t>本项目位于云县爱华镇河湾村委会马家庄组</w:t>
                  </w:r>
                  <w:r>
                    <w:rPr>
                      <w:rFonts w:hint="eastAsia" w:ascii="Times New Roman" w:hAnsi="Times New Roman" w:eastAsia="宋体" w:cs="Times New Roman"/>
                      <w:szCs w:val="21"/>
                      <w:lang w:val="zh-CN"/>
                    </w:rPr>
                    <w:t>，</w:t>
                  </w:r>
                  <w:r>
                    <w:rPr>
                      <w:rFonts w:hint="eastAsia" w:ascii="Times New Roman" w:hAnsi="Times New Roman" w:eastAsia="宋体" w:cs="Times New Roman"/>
                      <w:szCs w:val="21"/>
                    </w:rPr>
                    <w:t>不涉及生态红线及基本农田</w:t>
                  </w:r>
                  <w:r>
                    <w:rPr>
                      <w:rFonts w:ascii="Times New Roman" w:hAnsi="Times New Roman" w:eastAsia="宋体" w:cs="Times New Roman"/>
                      <w:szCs w:val="21"/>
                    </w:rPr>
                    <w:t>。</w:t>
                  </w:r>
                </w:p>
                <w:p>
                  <w:pPr>
                    <w:autoSpaceDE w:val="0"/>
                    <w:autoSpaceDN w:val="0"/>
                    <w:adjustRightInd w:val="0"/>
                    <w:snapToGrid w:val="0"/>
                    <w:rPr>
                      <w:rFonts w:ascii="Times New Roman" w:hAnsi="Times New Roman" w:eastAsia="宋体" w:cs="Times New Roman"/>
                      <w:szCs w:val="21"/>
                      <w:lang w:val="zh-CN"/>
                    </w:rPr>
                  </w:pPr>
                  <w:r>
                    <w:rPr>
                      <w:rFonts w:hint="eastAsia" w:ascii="Times New Roman" w:hAnsi="Times New Roman" w:eastAsia="宋体" w:cs="Times New Roman"/>
                      <w:szCs w:val="21"/>
                    </w:rPr>
                    <w:t>2.</w:t>
                  </w:r>
                  <w:r>
                    <w:rPr>
                      <w:rFonts w:ascii="Times New Roman" w:hAnsi="Times New Roman" w:eastAsia="宋体" w:cs="Times New Roman"/>
                      <w:szCs w:val="21"/>
                      <w:lang w:val="zh-CN"/>
                    </w:rPr>
                    <w:t>本项目</w:t>
                  </w:r>
                  <w:r>
                    <w:rPr>
                      <w:rFonts w:hint="eastAsia" w:ascii="Times New Roman" w:hAnsi="Times New Roman" w:eastAsia="宋体" w:cs="Times New Roman"/>
                      <w:szCs w:val="21"/>
                    </w:rPr>
                    <w:t>为沙、石加工项目，</w:t>
                  </w:r>
                  <w:r>
                    <w:rPr>
                      <w:rFonts w:ascii="Times New Roman" w:hAnsi="Times New Roman" w:eastAsia="宋体" w:cs="Times New Roman"/>
                      <w:szCs w:val="21"/>
                      <w:lang w:val="zh-CN"/>
                    </w:rPr>
                    <w:t>产生的废气主要为</w:t>
                  </w:r>
                  <w:r>
                    <w:rPr>
                      <w:rFonts w:ascii="Times New Roman" w:hAnsi="Times New Roman" w:eastAsia="宋体" w:cs="Times New Roman"/>
                      <w:szCs w:val="21"/>
                    </w:rPr>
                    <w:t>粉尘，处理后对环境影响较小；产生的废水为循环使用，不外排。</w:t>
                  </w:r>
                  <w:r>
                    <w:rPr>
                      <w:rFonts w:hint="eastAsia" w:ascii="Times New Roman" w:hAnsi="Times New Roman" w:eastAsia="宋体" w:cs="Times New Roman"/>
                      <w:szCs w:val="21"/>
                    </w:rPr>
                    <w:t>不属于</w:t>
                  </w:r>
                  <w:r>
                    <w:rPr>
                      <w:rFonts w:ascii="Times New Roman" w:hAnsi="Times New Roman" w:eastAsia="宋体" w:cs="Times New Roman"/>
                      <w:szCs w:val="21"/>
                    </w:rPr>
                    <w:t>大气污染严重的项目</w:t>
                  </w:r>
                  <w:r>
                    <w:rPr>
                      <w:rFonts w:hint="eastAsia" w:ascii="Times New Roman" w:hAnsi="Times New Roman" w:eastAsia="宋体" w:cs="Times New Roman"/>
                      <w:szCs w:val="21"/>
                    </w:rPr>
                    <w:t>。</w:t>
                  </w:r>
                </w:p>
              </w:tc>
              <w:tc>
                <w:tcPr>
                  <w:tcW w:w="770" w:type="dxa"/>
                  <w:vAlign w:val="center"/>
                </w:tcPr>
                <w:p>
                  <w:pPr>
                    <w:autoSpaceDE w:val="0"/>
                    <w:autoSpaceDN w:val="0"/>
                    <w:adjustRightInd w:val="0"/>
                    <w:snapToGrid w:val="0"/>
                    <w:jc w:val="center"/>
                    <w:rPr>
                      <w:rFonts w:ascii="Times New Roman" w:hAnsi="Times New Roman" w:eastAsia="宋体" w:cs="Times New Roman"/>
                      <w:szCs w:val="21"/>
                      <w:lang w:val="zh-CN"/>
                    </w:rPr>
                  </w:pPr>
                  <w:r>
                    <w:rPr>
                      <w:rFonts w:ascii="Times New Roman" w:hAnsi="Times New Roman" w:eastAsia="宋体" w:cs="Times New Roman"/>
                      <w:szCs w:val="21"/>
                      <w:lang w:val="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760" w:type="dxa"/>
                  <w:vMerge w:val="continue"/>
                  <w:vAlign w:val="center"/>
                </w:tcPr>
                <w:p>
                  <w:pPr>
                    <w:autoSpaceDE w:val="0"/>
                    <w:autoSpaceDN w:val="0"/>
                    <w:adjustRightInd w:val="0"/>
                    <w:snapToGrid w:val="0"/>
                    <w:jc w:val="center"/>
                    <w:rPr>
                      <w:rFonts w:ascii="Times New Roman" w:hAnsi="Times New Roman" w:eastAsia="宋体" w:cs="Times New Roman"/>
                      <w:szCs w:val="21"/>
                      <w:lang w:val="zh-CN"/>
                    </w:rPr>
                  </w:pPr>
                </w:p>
              </w:tc>
              <w:tc>
                <w:tcPr>
                  <w:tcW w:w="571" w:type="dxa"/>
                  <w:vMerge w:val="continue"/>
                  <w:vAlign w:val="center"/>
                </w:tcPr>
                <w:p>
                  <w:pPr>
                    <w:pStyle w:val="54"/>
                    <w:adjustRightInd w:val="0"/>
                    <w:snapToGrid w:val="0"/>
                    <w:jc w:val="both"/>
                    <w:rPr>
                      <w:rFonts w:ascii="Times New Roman" w:hAnsi="Times New Roman" w:cs="Times New Roman"/>
                      <w:sz w:val="21"/>
                      <w:szCs w:val="21"/>
                      <w:lang w:val="zh-CN"/>
                    </w:rPr>
                  </w:pPr>
                </w:p>
              </w:tc>
              <w:tc>
                <w:tcPr>
                  <w:tcW w:w="2783" w:type="dxa"/>
                  <w:vAlign w:val="center"/>
                </w:tcPr>
                <w:p>
                  <w:pPr>
                    <w:pStyle w:val="54"/>
                    <w:adjustRightInd w:val="0"/>
                    <w:snapToGrid w:val="0"/>
                    <w:jc w:val="both"/>
                    <w:rPr>
                      <w:rFonts w:ascii="Times New Roman" w:hAnsi="Times New Roman" w:cs="Times New Roman"/>
                      <w:sz w:val="21"/>
                      <w:szCs w:val="21"/>
                      <w:lang w:val="zh-CN"/>
                    </w:rPr>
                  </w:pPr>
                  <w:r>
                    <w:rPr>
                      <w:rFonts w:ascii="Times New Roman" w:hAnsi="Times New Roman" w:cs="Times New Roman"/>
                      <w:sz w:val="21"/>
                      <w:szCs w:val="21"/>
                      <w:lang w:val="zh-CN"/>
                    </w:rPr>
                    <w:t>资源</w:t>
                  </w:r>
                  <w:r>
                    <w:rPr>
                      <w:rFonts w:hint="eastAsia" w:ascii="Times New Roman" w:hAnsi="Times New Roman" w:cs="Times New Roman"/>
                      <w:sz w:val="21"/>
                      <w:szCs w:val="21"/>
                    </w:rPr>
                    <w:t>开发</w:t>
                  </w:r>
                  <w:r>
                    <w:rPr>
                      <w:rFonts w:ascii="Times New Roman" w:hAnsi="Times New Roman" w:cs="Times New Roman"/>
                      <w:sz w:val="21"/>
                      <w:szCs w:val="21"/>
                      <w:lang w:val="zh-CN"/>
                    </w:rPr>
                    <w:t>效率</w:t>
                  </w:r>
                </w:p>
                <w:p>
                  <w:pPr>
                    <w:pStyle w:val="54"/>
                    <w:adjustRightInd w:val="0"/>
                    <w:snapToGrid w:val="0"/>
                    <w:jc w:val="both"/>
                    <w:rPr>
                      <w:rFonts w:ascii="Times New Roman" w:hAnsi="Times New Roman" w:cs="Times New Roman"/>
                      <w:sz w:val="21"/>
                      <w:szCs w:val="21"/>
                      <w:lang w:val="zh-CN"/>
                    </w:rPr>
                  </w:pPr>
                  <w:r>
                    <w:rPr>
                      <w:rFonts w:ascii="Times New Roman" w:hAnsi="Times New Roman" w:cs="Times New Roman"/>
                      <w:sz w:val="21"/>
                      <w:szCs w:val="21"/>
                      <w:lang w:val="zh-CN"/>
                    </w:rPr>
                    <w:t>1．执行《云南省人民政府关于实施“三线一单”生态环境分区管控的意见》和《临沧市生态环境管控总体要求》相关要求。</w:t>
                  </w:r>
                </w:p>
              </w:tc>
              <w:tc>
                <w:tcPr>
                  <w:tcW w:w="2195" w:type="dxa"/>
                  <w:vAlign w:val="center"/>
                </w:tcPr>
                <w:p>
                  <w:pPr>
                    <w:autoSpaceDE w:val="0"/>
                    <w:autoSpaceDN w:val="0"/>
                    <w:adjustRightInd w:val="0"/>
                    <w:snapToGrid w:val="0"/>
                    <w:rPr>
                      <w:rFonts w:ascii="Times New Roman" w:hAnsi="Times New Roman" w:eastAsia="宋体" w:cs="Times New Roman"/>
                      <w:szCs w:val="21"/>
                    </w:rPr>
                  </w:pPr>
                  <w:r>
                    <w:rPr>
                      <w:rFonts w:hint="eastAsia" w:ascii="Times New Roman" w:hAnsi="Times New Roman" w:eastAsia="宋体" w:cs="Times New Roman"/>
                      <w:szCs w:val="21"/>
                    </w:rPr>
                    <w:t>1.</w:t>
                  </w:r>
                  <w:r>
                    <w:rPr>
                      <w:rFonts w:ascii="Times New Roman" w:hAnsi="Times New Roman" w:eastAsia="宋体" w:cs="Times New Roman"/>
                      <w:szCs w:val="21"/>
                      <w:lang w:val="zh-CN"/>
                    </w:rPr>
                    <w:t>本项目位于云县爱华镇河湾村委会马家庄组</w:t>
                  </w:r>
                  <w:r>
                    <w:rPr>
                      <w:rFonts w:hint="eastAsia" w:ascii="Times New Roman" w:hAnsi="Times New Roman" w:eastAsia="宋体" w:cs="Times New Roman"/>
                      <w:szCs w:val="21"/>
                      <w:lang w:val="zh-CN"/>
                    </w:rPr>
                    <w:t>，</w:t>
                  </w:r>
                  <w:r>
                    <w:rPr>
                      <w:rFonts w:hint="eastAsia" w:ascii="Times New Roman" w:hAnsi="Times New Roman" w:eastAsia="宋体" w:cs="Times New Roman"/>
                      <w:szCs w:val="21"/>
                    </w:rPr>
                    <w:t>不涉及生态红线及基本农田</w:t>
                  </w:r>
                  <w:r>
                    <w:rPr>
                      <w:rFonts w:ascii="Times New Roman" w:hAnsi="Times New Roman" w:eastAsia="宋体" w:cs="Times New Roman"/>
                      <w:szCs w:val="21"/>
                    </w:rPr>
                    <w:t>。</w:t>
                  </w:r>
                </w:p>
                <w:p>
                  <w:pPr>
                    <w:autoSpaceDE w:val="0"/>
                    <w:autoSpaceDN w:val="0"/>
                    <w:adjustRightInd w:val="0"/>
                    <w:snapToGrid w:val="0"/>
                    <w:rPr>
                      <w:rFonts w:ascii="Times New Roman" w:hAnsi="Times New Roman" w:eastAsia="宋体" w:cs="Times New Roman"/>
                      <w:szCs w:val="21"/>
                      <w:lang w:val="zh-CN"/>
                    </w:rPr>
                  </w:pPr>
                  <w:r>
                    <w:rPr>
                      <w:rFonts w:hint="eastAsia" w:ascii="Times New Roman" w:hAnsi="Times New Roman" w:eastAsia="宋体" w:cs="Times New Roman"/>
                      <w:szCs w:val="21"/>
                    </w:rPr>
                    <w:t>2.</w:t>
                  </w:r>
                  <w:r>
                    <w:rPr>
                      <w:rFonts w:ascii="Times New Roman" w:hAnsi="Times New Roman" w:eastAsia="宋体" w:cs="Times New Roman"/>
                      <w:szCs w:val="21"/>
                      <w:lang w:val="zh-CN"/>
                    </w:rPr>
                    <w:t>本项目</w:t>
                  </w:r>
                  <w:r>
                    <w:rPr>
                      <w:rFonts w:hint="eastAsia" w:ascii="Times New Roman" w:hAnsi="Times New Roman" w:eastAsia="宋体" w:cs="Times New Roman"/>
                      <w:szCs w:val="21"/>
                    </w:rPr>
                    <w:t>为沙、石加工项目，</w:t>
                  </w:r>
                  <w:r>
                    <w:rPr>
                      <w:rFonts w:ascii="Times New Roman" w:hAnsi="Times New Roman" w:eastAsia="宋体" w:cs="Times New Roman"/>
                      <w:szCs w:val="21"/>
                      <w:lang w:val="zh-CN"/>
                    </w:rPr>
                    <w:t>产生的废气主要为</w:t>
                  </w:r>
                  <w:r>
                    <w:rPr>
                      <w:rFonts w:ascii="Times New Roman" w:hAnsi="Times New Roman" w:eastAsia="宋体" w:cs="Times New Roman"/>
                      <w:szCs w:val="21"/>
                    </w:rPr>
                    <w:t>粉尘，处理后对环境影响较小；产生的废水为循环使用，不外排。</w:t>
                  </w:r>
                  <w:r>
                    <w:rPr>
                      <w:rFonts w:hint="eastAsia" w:ascii="Times New Roman" w:hAnsi="Times New Roman" w:eastAsia="宋体" w:cs="Times New Roman"/>
                      <w:szCs w:val="21"/>
                    </w:rPr>
                    <w:t>不属于</w:t>
                  </w:r>
                  <w:r>
                    <w:rPr>
                      <w:rFonts w:ascii="Times New Roman" w:hAnsi="Times New Roman" w:eastAsia="宋体" w:cs="Times New Roman"/>
                      <w:szCs w:val="21"/>
                    </w:rPr>
                    <w:t>大气污染严重的项目</w:t>
                  </w:r>
                  <w:r>
                    <w:rPr>
                      <w:rFonts w:hint="eastAsia" w:ascii="Times New Roman" w:hAnsi="Times New Roman" w:eastAsia="宋体" w:cs="Times New Roman"/>
                      <w:szCs w:val="21"/>
                    </w:rPr>
                    <w:t>。</w:t>
                  </w:r>
                </w:p>
              </w:tc>
              <w:tc>
                <w:tcPr>
                  <w:tcW w:w="770" w:type="dxa"/>
                  <w:vAlign w:val="center"/>
                </w:tcPr>
                <w:p>
                  <w:pPr>
                    <w:autoSpaceDE w:val="0"/>
                    <w:autoSpaceDN w:val="0"/>
                    <w:adjustRightInd w:val="0"/>
                    <w:snapToGrid w:val="0"/>
                    <w:jc w:val="center"/>
                    <w:rPr>
                      <w:rFonts w:ascii="Times New Roman" w:hAnsi="Times New Roman" w:eastAsia="宋体" w:cs="Times New Roman"/>
                      <w:szCs w:val="21"/>
                      <w:lang w:val="zh-CN"/>
                    </w:rPr>
                  </w:pPr>
                  <w:r>
                    <w:rPr>
                      <w:rFonts w:ascii="Times New Roman" w:hAnsi="Times New Roman" w:eastAsia="宋体" w:cs="Times New Roman"/>
                      <w:szCs w:val="21"/>
                      <w:lang w:val="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5" w:hRule="atLeast"/>
                <w:jc w:val="center"/>
              </w:trPr>
              <w:tc>
                <w:tcPr>
                  <w:tcW w:w="1331" w:type="dxa"/>
                  <w:gridSpan w:val="2"/>
                  <w:vMerge w:val="restart"/>
                  <w:vAlign w:val="center"/>
                </w:tcPr>
                <w:p>
                  <w:pPr>
                    <w:pStyle w:val="54"/>
                    <w:adjustRightInd w:val="0"/>
                    <w:snapToGrid w:val="0"/>
                    <w:jc w:val="both"/>
                    <w:rPr>
                      <w:rFonts w:ascii="Times New Roman" w:hAnsi="Times New Roman" w:cs="Times New Roman"/>
                      <w:sz w:val="21"/>
                      <w:szCs w:val="21"/>
                      <w:lang w:val="zh-CN"/>
                    </w:rPr>
                  </w:pPr>
                  <w:r>
                    <w:rPr>
                      <w:rFonts w:ascii="Times New Roman" w:hAnsi="Times New Roman" w:cs="Times New Roman"/>
                      <w:sz w:val="21"/>
                      <w:szCs w:val="21"/>
                    </w:rPr>
                    <w:t>《关于以改善环境质量为核心加强环境影响评价管理的通知》，环环评[2016]150号文</w:t>
                  </w:r>
                </w:p>
              </w:tc>
              <w:tc>
                <w:tcPr>
                  <w:tcW w:w="2783" w:type="dxa"/>
                  <w:vAlign w:val="center"/>
                </w:tcPr>
                <w:p>
                  <w:pPr>
                    <w:adjustRightInd w:val="0"/>
                    <w:snapToGrid w:val="0"/>
                    <w:rPr>
                      <w:rFonts w:ascii="Times New Roman" w:hAnsi="Times New Roman" w:eastAsia="宋体" w:cs="Times New Roman"/>
                      <w:szCs w:val="21"/>
                      <w:lang w:val="zh-CN"/>
                    </w:rPr>
                  </w:pPr>
                  <w:r>
                    <w:rPr>
                      <w:rFonts w:ascii="Times New Roman" w:hAnsi="Times New Roman" w:eastAsia="宋体" w:cs="Times New Roman"/>
                      <w:szCs w:val="21"/>
                    </w:rPr>
                    <w:t>（一）生态保护红线是生态空间范围内具有特殊重要生态功能必须实行强制性严格保护的区域。相关规划环评应将生态空间管控作为重要内容，规划区域涉及生态保护红线的，在规划环评结论和审查意见中应落实生态保护红线的管理要求，提出相应对策措施。除受自然条件限制、确实无法避让的铁路、公路、航道、防洪、管道、干渠、通讯、输变电等重要基础设施项目外，在生态保护红线范围内，严控各类开发建设活动，依法不予审批新建工业项目和矿产开发项目的环评文件。</w:t>
                  </w:r>
                </w:p>
              </w:tc>
              <w:tc>
                <w:tcPr>
                  <w:tcW w:w="2195" w:type="dxa"/>
                  <w:vAlign w:val="center"/>
                </w:tcPr>
                <w:p>
                  <w:pPr>
                    <w:autoSpaceDE w:val="0"/>
                    <w:autoSpaceDN w:val="0"/>
                    <w:adjustRightInd w:val="0"/>
                    <w:snapToGrid w:val="0"/>
                    <w:rPr>
                      <w:rFonts w:ascii="Times New Roman" w:hAnsi="Times New Roman" w:eastAsia="宋体" w:cs="Times New Roman"/>
                      <w:szCs w:val="21"/>
                      <w:lang w:val="zh-CN"/>
                    </w:rPr>
                  </w:pPr>
                  <w:r>
                    <w:rPr>
                      <w:rFonts w:ascii="Times New Roman" w:hAnsi="Times New Roman" w:eastAsia="宋体" w:cs="Times New Roman"/>
                      <w:szCs w:val="21"/>
                      <w:lang w:val="zh-CN"/>
                    </w:rPr>
                    <w:t>本项目位于云县爱华镇河湾村委会马家庄组</w:t>
                  </w:r>
                  <w:r>
                    <w:rPr>
                      <w:rFonts w:hint="eastAsia" w:ascii="Times New Roman" w:hAnsi="Times New Roman" w:eastAsia="宋体" w:cs="Times New Roman"/>
                      <w:szCs w:val="21"/>
                      <w:lang w:val="zh-CN"/>
                    </w:rPr>
                    <w:t>，</w:t>
                  </w:r>
                  <w:r>
                    <w:rPr>
                      <w:rFonts w:hint="eastAsia" w:ascii="Times New Roman" w:hAnsi="Times New Roman" w:eastAsia="宋体" w:cs="Times New Roman"/>
                      <w:szCs w:val="21"/>
                    </w:rPr>
                    <w:t>不涉及生态红线及基本农田</w:t>
                  </w:r>
                  <w:r>
                    <w:rPr>
                      <w:rFonts w:ascii="Times New Roman" w:hAnsi="Times New Roman" w:eastAsia="宋体" w:cs="Times New Roman"/>
                      <w:szCs w:val="21"/>
                    </w:rPr>
                    <w:t>。</w:t>
                  </w:r>
                </w:p>
              </w:tc>
              <w:tc>
                <w:tcPr>
                  <w:tcW w:w="770" w:type="dxa"/>
                  <w:vAlign w:val="center"/>
                </w:tcPr>
                <w:p>
                  <w:pPr>
                    <w:autoSpaceDE w:val="0"/>
                    <w:autoSpaceDN w:val="0"/>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31" w:type="dxa"/>
                  <w:gridSpan w:val="2"/>
                  <w:vMerge w:val="continue"/>
                  <w:vAlign w:val="center"/>
                </w:tcPr>
                <w:p>
                  <w:pPr>
                    <w:pStyle w:val="54"/>
                    <w:adjustRightInd w:val="0"/>
                    <w:snapToGrid w:val="0"/>
                    <w:jc w:val="both"/>
                    <w:rPr>
                      <w:rFonts w:ascii="Times New Roman" w:hAnsi="Times New Roman" w:cs="Times New Roman"/>
                      <w:sz w:val="21"/>
                      <w:szCs w:val="21"/>
                      <w:lang w:val="zh-CN"/>
                    </w:rPr>
                  </w:pPr>
                </w:p>
              </w:tc>
              <w:tc>
                <w:tcPr>
                  <w:tcW w:w="2783" w:type="dxa"/>
                  <w:vAlign w:val="center"/>
                </w:tcPr>
                <w:p>
                  <w:pPr>
                    <w:adjustRightInd w:val="0"/>
                    <w:snapToGrid w:val="0"/>
                    <w:rPr>
                      <w:rFonts w:ascii="Times New Roman" w:hAnsi="Times New Roman" w:eastAsia="宋体" w:cs="Times New Roman"/>
                      <w:szCs w:val="21"/>
                      <w:lang w:val="zh-CN"/>
                    </w:rPr>
                  </w:pPr>
                  <w:r>
                    <w:rPr>
                      <w:rFonts w:ascii="Times New Roman" w:hAnsi="Times New Roman" w:eastAsia="宋体" w:cs="Times New Roman"/>
                      <w:szCs w:val="21"/>
                    </w:rPr>
                    <w:t>（二）环境质量底线是国家和地方设置的大气、水和土壤环境质量目标，也是改善环境质量的基准线。有关规划环评应落实区域环境质量目标管理要求，提出区域或者行业污染物排放总量管控建议以及优化区域或行业发展布局、结构和规模的对策措施。项目环评应对照区域环境质量目标，深入分析预测项目建设对环境质量的影响，强化污染防治措施和污染物排放控制要求。</w:t>
                  </w:r>
                </w:p>
              </w:tc>
              <w:tc>
                <w:tcPr>
                  <w:tcW w:w="2195" w:type="dxa"/>
                  <w:vAlign w:val="center"/>
                </w:tcPr>
                <w:p>
                  <w:pPr>
                    <w:autoSpaceDE w:val="0"/>
                    <w:autoSpaceDN w:val="0"/>
                    <w:adjustRightInd w:val="0"/>
                    <w:snapToGrid w:val="0"/>
                    <w:rPr>
                      <w:rFonts w:ascii="Times New Roman" w:hAnsi="Times New Roman" w:eastAsia="宋体" w:cs="Times New Roman"/>
                      <w:szCs w:val="21"/>
                      <w:lang w:val="zh-CN"/>
                    </w:rPr>
                  </w:pPr>
                  <w:r>
                    <w:rPr>
                      <w:rFonts w:ascii="Times New Roman" w:hAnsi="Times New Roman" w:eastAsia="宋体" w:cs="Times New Roman"/>
                      <w:szCs w:val="21"/>
                      <w:lang w:val="zh-CN"/>
                    </w:rPr>
                    <w:t>根据区域环境质量现状调查情况，区域大气环境满足《环境空气质量标准》（GB309</w:t>
                  </w:r>
                  <w:r>
                    <w:rPr>
                      <w:rFonts w:ascii="Times New Roman" w:hAnsi="Times New Roman" w:eastAsia="宋体" w:cs="Times New Roman"/>
                      <w:szCs w:val="21"/>
                    </w:rPr>
                    <w:t>5</w:t>
                  </w:r>
                  <w:r>
                    <w:rPr>
                      <w:rFonts w:ascii="Times New Roman" w:hAnsi="Times New Roman" w:eastAsia="宋体" w:cs="Times New Roman"/>
                      <w:szCs w:val="21"/>
                      <w:lang w:val="zh-CN"/>
                    </w:rPr>
                    <w:t>-2012）二级标准；周边声环境能够满足《声环境质量标准》（GB3096-2008）</w:t>
                  </w:r>
                  <w:r>
                    <w:rPr>
                      <w:rFonts w:hint="eastAsia" w:ascii="Times New Roman" w:hAnsi="Times New Roman" w:eastAsia="宋体" w:cs="Times New Roman"/>
                      <w:szCs w:val="21"/>
                    </w:rPr>
                    <w:t>2</w:t>
                  </w:r>
                  <w:r>
                    <w:rPr>
                      <w:rFonts w:ascii="Times New Roman" w:hAnsi="Times New Roman" w:eastAsia="宋体" w:cs="Times New Roman"/>
                      <w:szCs w:val="21"/>
                      <w:lang w:val="zh-CN"/>
                    </w:rPr>
                    <w:t>类标准要求。</w:t>
                  </w:r>
                </w:p>
                <w:p>
                  <w:pPr>
                    <w:autoSpaceDE w:val="0"/>
                    <w:autoSpaceDN w:val="0"/>
                    <w:adjustRightInd w:val="0"/>
                    <w:snapToGrid w:val="0"/>
                    <w:rPr>
                      <w:rFonts w:ascii="Times New Roman" w:hAnsi="Times New Roman" w:eastAsia="宋体" w:cs="Times New Roman"/>
                      <w:szCs w:val="21"/>
                      <w:lang w:val="zh-CN"/>
                    </w:rPr>
                  </w:pPr>
                  <w:r>
                    <w:rPr>
                      <w:rFonts w:ascii="Times New Roman" w:hAnsi="Times New Roman" w:eastAsia="宋体" w:cs="Times New Roman"/>
                      <w:szCs w:val="21"/>
                      <w:lang w:val="zh-CN"/>
                    </w:rPr>
                    <w:t>本项目对产生的废气、废水、噪声、固废等采取了规范的处理、处置措施，在一定程度上减少了污染物的排放，使污染物均能达标排放。通过采取相应的防治措施后，本项目排放的污染物对区域环境质量影响较小。因此项目满足环境质量底线要求。</w:t>
                  </w:r>
                </w:p>
              </w:tc>
              <w:tc>
                <w:tcPr>
                  <w:tcW w:w="770" w:type="dxa"/>
                  <w:vAlign w:val="center"/>
                </w:tcPr>
                <w:p>
                  <w:pPr>
                    <w:autoSpaceDE w:val="0"/>
                    <w:autoSpaceDN w:val="0"/>
                    <w:adjustRightInd w:val="0"/>
                    <w:snapToGrid w:val="0"/>
                    <w:jc w:val="center"/>
                    <w:rPr>
                      <w:rFonts w:ascii="Times New Roman" w:hAnsi="Times New Roman" w:eastAsia="宋体" w:cs="Times New Roman"/>
                      <w:szCs w:val="21"/>
                      <w:lang w:val="zh-CN"/>
                    </w:rPr>
                  </w:pPr>
                  <w:r>
                    <w:rPr>
                      <w:rFonts w:ascii="Times New Roman" w:hAnsi="Times New Roman" w:eastAsia="宋体" w:cs="Times New Roman"/>
                      <w:szCs w:val="21"/>
                      <w:lang w:val="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7" w:hRule="atLeast"/>
                <w:jc w:val="center"/>
              </w:trPr>
              <w:tc>
                <w:tcPr>
                  <w:tcW w:w="1331" w:type="dxa"/>
                  <w:gridSpan w:val="2"/>
                  <w:vMerge w:val="continue"/>
                  <w:vAlign w:val="center"/>
                </w:tcPr>
                <w:p>
                  <w:pPr>
                    <w:pStyle w:val="54"/>
                    <w:adjustRightInd w:val="0"/>
                    <w:snapToGrid w:val="0"/>
                    <w:jc w:val="both"/>
                    <w:rPr>
                      <w:rFonts w:ascii="Times New Roman" w:hAnsi="Times New Roman" w:cs="Times New Roman"/>
                      <w:sz w:val="21"/>
                      <w:szCs w:val="21"/>
                      <w:lang w:val="zh-CN"/>
                    </w:rPr>
                  </w:pPr>
                </w:p>
              </w:tc>
              <w:tc>
                <w:tcPr>
                  <w:tcW w:w="2783" w:type="dxa"/>
                  <w:vAlign w:val="center"/>
                </w:tcPr>
                <w:p>
                  <w:pPr>
                    <w:adjustRightInd w:val="0"/>
                    <w:snapToGrid w:val="0"/>
                    <w:rPr>
                      <w:rFonts w:ascii="Times New Roman" w:hAnsi="Times New Roman" w:eastAsia="宋体" w:cs="Times New Roman"/>
                      <w:szCs w:val="21"/>
                      <w:lang w:val="zh-CN"/>
                    </w:rPr>
                  </w:pPr>
                  <w:r>
                    <w:rPr>
                      <w:rFonts w:ascii="Times New Roman" w:hAnsi="Times New Roman" w:eastAsia="宋体" w:cs="Times New Roman"/>
                      <w:szCs w:val="21"/>
                    </w:rPr>
                    <w:t>（三）资源是环境的载体，资源利用上线是各地区能源、水、土地等资源消耗不得突破的“天花板”。相关规划环评应依据有关资源利用上限，对规划实施以及规划内项目的资源开发利用，区分不同行业，从能源资源开发等量或减量替代、开采方式和规模控制、利用效率和保护措施等方面提出建议，为规划编制和审批决策提供重要依据。</w:t>
                  </w:r>
                </w:p>
              </w:tc>
              <w:tc>
                <w:tcPr>
                  <w:tcW w:w="2195" w:type="dxa"/>
                  <w:vAlign w:val="center"/>
                </w:tcPr>
                <w:p>
                  <w:pPr>
                    <w:autoSpaceDE w:val="0"/>
                    <w:autoSpaceDN w:val="0"/>
                    <w:adjustRightInd w:val="0"/>
                    <w:snapToGrid w:val="0"/>
                    <w:rPr>
                      <w:rFonts w:ascii="Times New Roman" w:hAnsi="Times New Roman" w:eastAsia="宋体" w:cs="Times New Roman"/>
                      <w:szCs w:val="21"/>
                      <w:lang w:val="zh-CN"/>
                    </w:rPr>
                  </w:pPr>
                  <w:r>
                    <w:rPr>
                      <w:rFonts w:ascii="Times New Roman" w:hAnsi="Times New Roman" w:eastAsia="宋体" w:cs="Times New Roman"/>
                      <w:szCs w:val="21"/>
                      <w:lang w:val="zh-CN"/>
                    </w:rPr>
                    <w:t>本项目运营过程中会消耗一定量的水、电等资源，不属于高耗能和资源消耗型企业。且通过内部管理、设备和工艺选择、污染治理等多方面采取合理可行的防治措施，以“节能、降耗、减污”为目标，有效地控制污染及资源利用水平。项目的水、电等资源利用在云县供水、供电负荷范围内，能源消耗利用不会突破区域的资源利用上限。</w:t>
                  </w:r>
                </w:p>
              </w:tc>
              <w:tc>
                <w:tcPr>
                  <w:tcW w:w="770" w:type="dxa"/>
                  <w:vAlign w:val="center"/>
                </w:tcPr>
                <w:p>
                  <w:pPr>
                    <w:autoSpaceDE w:val="0"/>
                    <w:autoSpaceDN w:val="0"/>
                    <w:adjustRightInd w:val="0"/>
                    <w:snapToGrid w:val="0"/>
                    <w:jc w:val="center"/>
                    <w:rPr>
                      <w:rFonts w:ascii="Times New Roman" w:hAnsi="Times New Roman" w:eastAsia="宋体" w:cs="Times New Roman"/>
                      <w:szCs w:val="21"/>
                      <w:lang w:val="zh-CN"/>
                    </w:rPr>
                  </w:pPr>
                  <w:r>
                    <w:rPr>
                      <w:rFonts w:ascii="Times New Roman" w:hAnsi="Times New Roman" w:eastAsia="宋体" w:cs="Times New Roman"/>
                      <w:szCs w:val="21"/>
                      <w:lang w:val="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9" w:hRule="atLeast"/>
                <w:jc w:val="center"/>
              </w:trPr>
              <w:tc>
                <w:tcPr>
                  <w:tcW w:w="1331" w:type="dxa"/>
                  <w:gridSpan w:val="2"/>
                  <w:vMerge w:val="continue"/>
                  <w:vAlign w:val="center"/>
                </w:tcPr>
                <w:p>
                  <w:pPr>
                    <w:pStyle w:val="54"/>
                    <w:adjustRightInd w:val="0"/>
                    <w:snapToGrid w:val="0"/>
                    <w:jc w:val="both"/>
                    <w:rPr>
                      <w:rFonts w:ascii="Times New Roman" w:hAnsi="Times New Roman" w:cs="Times New Roman"/>
                      <w:sz w:val="21"/>
                      <w:szCs w:val="21"/>
                      <w:lang w:val="zh-CN"/>
                    </w:rPr>
                  </w:pPr>
                </w:p>
              </w:tc>
              <w:tc>
                <w:tcPr>
                  <w:tcW w:w="2783" w:type="dxa"/>
                  <w:vAlign w:val="center"/>
                </w:tcPr>
                <w:p>
                  <w:pPr>
                    <w:adjustRightInd w:val="0"/>
                    <w:snapToGrid w:val="0"/>
                    <w:rPr>
                      <w:rFonts w:ascii="Times New Roman" w:hAnsi="Times New Roman" w:eastAsia="宋体" w:cs="Times New Roman"/>
                      <w:szCs w:val="21"/>
                      <w:lang w:val="zh-CN"/>
                    </w:rPr>
                  </w:pPr>
                  <w:r>
                    <w:rPr>
                      <w:rFonts w:ascii="Times New Roman" w:hAnsi="Times New Roman" w:eastAsia="宋体" w:cs="Times New Roman"/>
                      <w:szCs w:val="21"/>
                    </w:rPr>
                    <w:t>（四）环境准入负面清单是基于生态保护红线、环境质量底线和资源利用上线，以清单方式列出的禁止、限制等差别化环境准入条件和要求。要在规划环评清单式管理试点的基础上，从布局选址、资源利用效率、资源配置方式等方面入手，制定环境准入负面清单，充分发挥负面清单对产业发展和项目准入的指导和约束作用。</w:t>
                  </w:r>
                </w:p>
              </w:tc>
              <w:tc>
                <w:tcPr>
                  <w:tcW w:w="2195" w:type="dxa"/>
                  <w:vAlign w:val="center"/>
                </w:tcPr>
                <w:p>
                  <w:pPr>
                    <w:autoSpaceDE w:val="0"/>
                    <w:autoSpaceDN w:val="0"/>
                    <w:adjustRightInd w:val="0"/>
                    <w:snapToGrid w:val="0"/>
                    <w:rPr>
                      <w:rFonts w:ascii="Times New Roman" w:hAnsi="Times New Roman" w:eastAsia="宋体" w:cs="Times New Roman"/>
                      <w:szCs w:val="21"/>
                      <w:lang w:val="zh-CN"/>
                    </w:rPr>
                  </w:pPr>
                  <w:r>
                    <w:rPr>
                      <w:rFonts w:ascii="Times New Roman" w:hAnsi="Times New Roman" w:eastAsia="宋体" w:cs="Times New Roman"/>
                      <w:szCs w:val="21"/>
                      <w:lang w:val="zh-CN"/>
                    </w:rPr>
                    <w:t>根据国家发展改革委商务部关于印发《市场准入负面清单（2022年版）》的通知（发改体改规〔2022〕397号），本项目不属于淘汰、限制、禁止进入项目，因此不属于环境准入负面清单的建设内容。</w:t>
                  </w:r>
                </w:p>
              </w:tc>
              <w:tc>
                <w:tcPr>
                  <w:tcW w:w="770" w:type="dxa"/>
                  <w:vAlign w:val="center"/>
                </w:tcPr>
                <w:p>
                  <w:pPr>
                    <w:autoSpaceDE w:val="0"/>
                    <w:autoSpaceDN w:val="0"/>
                    <w:adjustRightInd w:val="0"/>
                    <w:snapToGrid w:val="0"/>
                    <w:jc w:val="center"/>
                    <w:rPr>
                      <w:rFonts w:ascii="Times New Roman" w:hAnsi="Times New Roman" w:eastAsia="宋体" w:cs="Times New Roman"/>
                      <w:szCs w:val="21"/>
                      <w:lang w:val="zh-CN"/>
                    </w:rPr>
                  </w:pPr>
                  <w:r>
                    <w:rPr>
                      <w:rFonts w:ascii="Times New Roman" w:hAnsi="Times New Roman" w:eastAsia="宋体" w:cs="Times New Roman"/>
                      <w:szCs w:val="21"/>
                      <w:lang w:val="zh-CN"/>
                    </w:rPr>
                    <w:t>符合</w:t>
                  </w:r>
                </w:p>
              </w:tc>
            </w:tr>
          </w:tbl>
          <w:p>
            <w:pPr>
              <w:adjustRightInd w:val="0"/>
              <w:snapToGrid w:val="0"/>
              <w:spacing w:line="360" w:lineRule="auto"/>
              <w:ind w:firstLine="480" w:firstLineChars="200"/>
              <w:rPr>
                <w:rFonts w:ascii="Times New Roman" w:hAnsi="Times New Roman" w:eastAsia="宋体" w:cs="Times New Roman"/>
                <w:b/>
                <w:bCs/>
                <w:sz w:val="24"/>
              </w:rPr>
            </w:pPr>
            <w:r>
              <w:rPr>
                <w:rFonts w:ascii="Times New Roman" w:hAnsi="Times New Roman" w:eastAsia="宋体" w:cs="Times New Roman"/>
                <w:kern w:val="0"/>
                <w:sz w:val="24"/>
              </w:rPr>
              <w:t>综上所述，本项目的建设符合“三线一单”及《临沧市人民政府关于印发临沧市“三线一单”生态环境分区管控实施方案的通知》（临政发〔2021〕24号）的要求。</w:t>
            </w:r>
          </w:p>
          <w:p>
            <w:pPr>
              <w:adjustRightInd w:val="0"/>
              <w:snapToGrid w:val="0"/>
              <w:spacing w:line="360" w:lineRule="auto"/>
              <w:ind w:firstLine="482" w:firstLineChars="200"/>
              <w:rPr>
                <w:rFonts w:ascii="Times New Roman" w:hAnsi="Times New Roman" w:eastAsia="宋体" w:cs="Times New Roman"/>
                <w:b/>
                <w:bCs/>
                <w:sz w:val="24"/>
              </w:rPr>
            </w:pPr>
            <w:r>
              <w:rPr>
                <w:rFonts w:hint="eastAsia" w:ascii="Times New Roman" w:hAnsi="Times New Roman" w:eastAsia="宋体" w:cs="Times New Roman"/>
                <w:b/>
                <w:bCs/>
                <w:sz w:val="24"/>
              </w:rPr>
              <w:t>5</w:t>
            </w:r>
            <w:r>
              <w:rPr>
                <w:rFonts w:ascii="Times New Roman" w:hAnsi="Times New Roman" w:eastAsia="宋体" w:cs="Times New Roman"/>
                <w:b/>
                <w:bCs/>
                <w:sz w:val="24"/>
              </w:rPr>
              <w:t>、与“水十条、气十条、土十条”相符性分析</w:t>
            </w:r>
          </w:p>
          <w:p>
            <w:pPr>
              <w:adjustRightInd w:val="0"/>
              <w:snapToGrid w:val="0"/>
              <w:jc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表1-</w:t>
            </w:r>
            <w:r>
              <w:rPr>
                <w:rFonts w:hint="eastAsia" w:ascii="Times New Roman" w:hAnsi="Times New Roman" w:eastAsia="宋体" w:cs="Times New Roman"/>
                <w:b/>
                <w:bCs/>
                <w:kern w:val="0"/>
                <w:szCs w:val="21"/>
                <w:lang w:bidi="ar"/>
              </w:rPr>
              <w:t>3</w:t>
            </w:r>
            <w:r>
              <w:rPr>
                <w:rFonts w:ascii="Times New Roman" w:hAnsi="Times New Roman" w:eastAsia="宋体" w:cs="Times New Roman"/>
                <w:b/>
                <w:bCs/>
                <w:kern w:val="0"/>
                <w:szCs w:val="21"/>
                <w:lang w:bidi="ar"/>
              </w:rPr>
              <w:t xml:space="preserve"> </w:t>
            </w:r>
            <w:r>
              <w:rPr>
                <w:rFonts w:ascii="Times New Roman" w:hAnsi="Times New Roman" w:eastAsia="宋体" w:cs="Times New Roman"/>
                <w:b/>
                <w:bCs/>
                <w:szCs w:val="21"/>
              </w:rPr>
              <w:t>项目与《水污染防治行动计划》符合性分析</w:t>
            </w:r>
          </w:p>
          <w:tbl>
            <w:tblPr>
              <w:tblStyle w:val="30"/>
              <w:tblW w:w="70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
              <w:gridCol w:w="2737"/>
              <w:gridCol w:w="2571"/>
              <w:gridCol w:w="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 w:hRule="atLeast"/>
                <w:jc w:val="center"/>
              </w:trPr>
              <w:tc>
                <w:tcPr>
                  <w:tcW w:w="622" w:type="pct"/>
                  <w:vAlign w:val="center"/>
                </w:tcPr>
                <w:p>
                  <w:pPr>
                    <w:autoSpaceDE w:val="0"/>
                    <w:autoSpaceDN w:val="0"/>
                    <w:adjustRightInd w:val="0"/>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序号</w:t>
                  </w:r>
                </w:p>
              </w:tc>
              <w:tc>
                <w:tcPr>
                  <w:tcW w:w="1928" w:type="pct"/>
                  <w:vAlign w:val="center"/>
                </w:tcPr>
                <w:p>
                  <w:pPr>
                    <w:autoSpaceDE w:val="0"/>
                    <w:autoSpaceDN w:val="0"/>
                    <w:adjustRightInd w:val="0"/>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相关要求</w:t>
                  </w:r>
                </w:p>
              </w:tc>
              <w:tc>
                <w:tcPr>
                  <w:tcW w:w="1811" w:type="pct"/>
                  <w:vAlign w:val="center"/>
                </w:tcPr>
                <w:p>
                  <w:pPr>
                    <w:autoSpaceDE w:val="0"/>
                    <w:autoSpaceDN w:val="0"/>
                    <w:adjustRightInd w:val="0"/>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本项目情况</w:t>
                  </w:r>
                </w:p>
              </w:tc>
              <w:tc>
                <w:tcPr>
                  <w:tcW w:w="638" w:type="pct"/>
                  <w:vAlign w:val="center"/>
                </w:tcPr>
                <w:p>
                  <w:pPr>
                    <w:autoSpaceDE w:val="0"/>
                    <w:autoSpaceDN w:val="0"/>
                    <w:adjustRightInd w:val="0"/>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622" w:type="pct"/>
                  <w:vAlign w:val="center"/>
                </w:tcPr>
                <w:p>
                  <w:pPr>
                    <w:autoSpaceDE w:val="0"/>
                    <w:autoSpaceDN w:val="0"/>
                    <w:adjustRightInd w:val="0"/>
                    <w:snapToGrid w:val="0"/>
                    <w:rPr>
                      <w:rFonts w:ascii="Times New Roman" w:hAnsi="Times New Roman" w:eastAsia="宋体" w:cs="Times New Roman"/>
                      <w:szCs w:val="21"/>
                    </w:rPr>
                  </w:pPr>
                  <w:r>
                    <w:rPr>
                      <w:rFonts w:ascii="Times New Roman" w:hAnsi="Times New Roman" w:eastAsia="宋体" w:cs="Times New Roman"/>
                      <w:szCs w:val="21"/>
                    </w:rPr>
                    <w:t>一、全面控制污染物排放</w:t>
                  </w:r>
                </w:p>
              </w:tc>
              <w:tc>
                <w:tcPr>
                  <w:tcW w:w="1928" w:type="pct"/>
                  <w:vAlign w:val="center"/>
                </w:tcPr>
                <w:p>
                  <w:pPr>
                    <w:autoSpaceDE w:val="0"/>
                    <w:autoSpaceDN w:val="0"/>
                    <w:adjustRightInd w:val="0"/>
                    <w:snapToGrid w:val="0"/>
                    <w:rPr>
                      <w:rFonts w:ascii="Times New Roman" w:hAnsi="Times New Roman" w:eastAsia="宋体" w:cs="Times New Roman"/>
                      <w:szCs w:val="21"/>
                    </w:rPr>
                  </w:pPr>
                  <w:r>
                    <w:rPr>
                      <w:rFonts w:ascii="Times New Roman" w:hAnsi="Times New Roman" w:eastAsia="宋体" w:cs="Times New Roman"/>
                      <w:szCs w:val="21"/>
                    </w:rPr>
                    <w:t>1、狠抓工业污染防治。取缔“十小”企业。全面排查装备水平低、环保设施差的小型工业企业。</w:t>
                  </w:r>
                </w:p>
              </w:tc>
              <w:tc>
                <w:tcPr>
                  <w:tcW w:w="1811" w:type="pct"/>
                  <w:vAlign w:val="center"/>
                </w:tcPr>
                <w:p>
                  <w:pPr>
                    <w:autoSpaceDE w:val="0"/>
                    <w:autoSpaceDN w:val="0"/>
                    <w:adjustRightInd w:val="0"/>
                    <w:snapToGrid w:val="0"/>
                    <w:rPr>
                      <w:rFonts w:ascii="Times New Roman" w:hAnsi="Times New Roman" w:eastAsia="宋体" w:cs="Times New Roman"/>
                      <w:szCs w:val="21"/>
                    </w:rPr>
                  </w:pPr>
                  <w:r>
                    <w:rPr>
                      <w:rFonts w:ascii="Times New Roman" w:hAnsi="Times New Roman" w:eastAsia="宋体" w:cs="Times New Roman"/>
                      <w:szCs w:val="21"/>
                    </w:rPr>
                    <w:t>本项目为</w:t>
                  </w:r>
                  <w:r>
                    <w:rPr>
                      <w:rFonts w:hint="eastAsia" w:ascii="Times New Roman" w:hAnsi="Times New Roman" w:eastAsia="宋体" w:cs="Times New Roman"/>
                      <w:szCs w:val="21"/>
                    </w:rPr>
                    <w:t>沙、石加工项目</w:t>
                  </w:r>
                  <w:r>
                    <w:rPr>
                      <w:rFonts w:ascii="Times New Roman" w:hAnsi="Times New Roman" w:eastAsia="宋体" w:cs="Times New Roman"/>
                      <w:szCs w:val="21"/>
                    </w:rPr>
                    <w:t>，生产废水经过处理后回用，不外排，对环境影响较小，不属于严重污染水环境的生产项目。</w:t>
                  </w:r>
                </w:p>
              </w:tc>
              <w:tc>
                <w:tcPr>
                  <w:tcW w:w="638" w:type="pct"/>
                  <w:vAlign w:val="center"/>
                </w:tcPr>
                <w:p>
                  <w:pPr>
                    <w:autoSpaceDE w:val="0"/>
                    <w:autoSpaceDN w:val="0"/>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622" w:type="pct"/>
                  <w:vAlign w:val="center"/>
                </w:tcPr>
                <w:p>
                  <w:pPr>
                    <w:autoSpaceDE w:val="0"/>
                    <w:autoSpaceDN w:val="0"/>
                    <w:adjustRightInd w:val="0"/>
                    <w:snapToGrid w:val="0"/>
                    <w:rPr>
                      <w:rFonts w:ascii="Times New Roman" w:hAnsi="Times New Roman" w:eastAsia="宋体" w:cs="Times New Roman"/>
                      <w:szCs w:val="21"/>
                    </w:rPr>
                  </w:pPr>
                  <w:r>
                    <w:rPr>
                      <w:rFonts w:ascii="Times New Roman" w:hAnsi="Times New Roman" w:eastAsia="宋体" w:cs="Times New Roman"/>
                      <w:szCs w:val="21"/>
                    </w:rPr>
                    <w:t>二、推动经济结构转型升级</w:t>
                  </w:r>
                </w:p>
              </w:tc>
              <w:tc>
                <w:tcPr>
                  <w:tcW w:w="1928" w:type="pct"/>
                  <w:vAlign w:val="center"/>
                </w:tcPr>
                <w:p>
                  <w:pPr>
                    <w:autoSpaceDE w:val="0"/>
                    <w:autoSpaceDN w:val="0"/>
                    <w:adjustRightInd w:val="0"/>
                    <w:snapToGrid w:val="0"/>
                    <w:rPr>
                      <w:rFonts w:ascii="Times New Roman" w:hAnsi="Times New Roman" w:eastAsia="宋体" w:cs="Times New Roman"/>
                      <w:szCs w:val="21"/>
                    </w:rPr>
                  </w:pPr>
                  <w:r>
                    <w:rPr>
                      <w:rFonts w:ascii="Times New Roman" w:hAnsi="Times New Roman" w:eastAsia="宋体" w:cs="Times New Roman"/>
                      <w:szCs w:val="21"/>
                    </w:rPr>
                    <w:t>5、调整产业结构。依法淘汰落后产能。</w:t>
                  </w:r>
                </w:p>
              </w:tc>
              <w:tc>
                <w:tcPr>
                  <w:tcW w:w="1811" w:type="pct"/>
                  <w:vAlign w:val="center"/>
                </w:tcPr>
                <w:p>
                  <w:pPr>
                    <w:autoSpaceDE w:val="0"/>
                    <w:autoSpaceDN w:val="0"/>
                    <w:adjustRightInd w:val="0"/>
                    <w:snapToGrid w:val="0"/>
                    <w:rPr>
                      <w:rFonts w:ascii="Times New Roman" w:hAnsi="Times New Roman" w:eastAsia="宋体" w:cs="Times New Roman"/>
                      <w:szCs w:val="21"/>
                    </w:rPr>
                  </w:pPr>
                  <w:r>
                    <w:rPr>
                      <w:rFonts w:ascii="Times New Roman" w:hAnsi="Times New Roman" w:eastAsia="宋体" w:cs="Times New Roman"/>
                      <w:szCs w:val="21"/>
                    </w:rPr>
                    <w:t>本项目产品及使用的原材料、生产设备、生产工艺等均未列于《产业结构调整指导目录》（2019年本）中限制类、淘汰类；</w:t>
                  </w:r>
                  <w:r>
                    <w:rPr>
                      <w:rFonts w:hint="eastAsia" w:ascii="Times New Roman" w:hAnsi="Times New Roman" w:eastAsia="宋体" w:cs="Times New Roman"/>
                      <w:szCs w:val="21"/>
                    </w:rPr>
                    <w:t>不属于依法淘汰</w:t>
                  </w:r>
                  <w:r>
                    <w:rPr>
                      <w:rFonts w:ascii="Times New Roman" w:hAnsi="Times New Roman" w:eastAsia="宋体" w:cs="Times New Roman"/>
                      <w:szCs w:val="21"/>
                    </w:rPr>
                    <w:t>落后产能</w:t>
                  </w:r>
                  <w:r>
                    <w:rPr>
                      <w:rFonts w:hint="eastAsia" w:ascii="Times New Roman" w:hAnsi="Times New Roman" w:eastAsia="宋体" w:cs="Times New Roman"/>
                      <w:szCs w:val="21"/>
                    </w:rPr>
                    <w:t>的项目</w:t>
                  </w:r>
                  <w:r>
                    <w:rPr>
                      <w:rFonts w:ascii="Times New Roman" w:hAnsi="Times New Roman" w:eastAsia="宋体" w:cs="Times New Roman"/>
                      <w:szCs w:val="21"/>
                    </w:rPr>
                    <w:t>。</w:t>
                  </w:r>
                </w:p>
              </w:tc>
              <w:tc>
                <w:tcPr>
                  <w:tcW w:w="638" w:type="pct"/>
                  <w:vAlign w:val="center"/>
                </w:tcPr>
                <w:p>
                  <w:pPr>
                    <w:autoSpaceDE w:val="0"/>
                    <w:autoSpaceDN w:val="0"/>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2" w:type="pct"/>
                  <w:vMerge w:val="restart"/>
                  <w:vAlign w:val="center"/>
                </w:tcPr>
                <w:p>
                  <w:pPr>
                    <w:autoSpaceDE w:val="0"/>
                    <w:autoSpaceDN w:val="0"/>
                    <w:adjustRightInd w:val="0"/>
                    <w:snapToGrid w:val="0"/>
                    <w:rPr>
                      <w:rFonts w:ascii="Times New Roman" w:hAnsi="Times New Roman" w:eastAsia="宋体" w:cs="Times New Roman"/>
                      <w:szCs w:val="21"/>
                    </w:rPr>
                  </w:pPr>
                  <w:r>
                    <w:rPr>
                      <w:rFonts w:ascii="Times New Roman" w:hAnsi="Times New Roman" w:eastAsia="宋体" w:cs="Times New Roman"/>
                      <w:szCs w:val="21"/>
                    </w:rPr>
                    <w:t>七、切实加强水环境管理</w:t>
                  </w:r>
                </w:p>
              </w:tc>
              <w:tc>
                <w:tcPr>
                  <w:tcW w:w="1928" w:type="pct"/>
                  <w:vAlign w:val="center"/>
                </w:tcPr>
                <w:p>
                  <w:pPr>
                    <w:autoSpaceDE w:val="0"/>
                    <w:autoSpaceDN w:val="0"/>
                    <w:adjustRightInd w:val="0"/>
                    <w:snapToGrid w:val="0"/>
                    <w:rPr>
                      <w:rFonts w:ascii="Times New Roman" w:hAnsi="Times New Roman" w:eastAsia="宋体" w:cs="Times New Roman"/>
                      <w:szCs w:val="21"/>
                    </w:rPr>
                  </w:pPr>
                  <w:r>
                    <w:rPr>
                      <w:rFonts w:ascii="Times New Roman" w:hAnsi="Times New Roman" w:eastAsia="宋体" w:cs="Times New Roman"/>
                      <w:szCs w:val="21"/>
                    </w:rPr>
                    <w:t>21、深化污染物排放总量控制。完善污染物统计监测体系，将工业、城镇生活、农业、移动源等各类污染源纳入调查范围。选择对水环境质量有突出影响的总氮、总磷、重金属等污染物，研究纳入流域、区域污染物排放总量控制约束性指标体系。</w:t>
                  </w:r>
                </w:p>
              </w:tc>
              <w:tc>
                <w:tcPr>
                  <w:tcW w:w="1811" w:type="pct"/>
                  <w:vAlign w:val="center"/>
                </w:tcPr>
                <w:p>
                  <w:pPr>
                    <w:autoSpaceDE w:val="0"/>
                    <w:autoSpaceDN w:val="0"/>
                    <w:adjustRightInd w:val="0"/>
                    <w:snapToGrid w:val="0"/>
                    <w:rPr>
                      <w:rFonts w:ascii="Times New Roman" w:hAnsi="Times New Roman" w:eastAsia="宋体" w:cs="Times New Roman"/>
                      <w:szCs w:val="21"/>
                    </w:rPr>
                  </w:pPr>
                  <w:r>
                    <w:rPr>
                      <w:rFonts w:ascii="Times New Roman" w:hAnsi="Times New Roman" w:eastAsia="宋体" w:cs="Times New Roman"/>
                      <w:szCs w:val="21"/>
                    </w:rPr>
                    <w:t>本项目生产废水经过处理后回用，不外排，不需要设置污染物排放总量控制指标。</w:t>
                  </w:r>
                </w:p>
              </w:tc>
              <w:tc>
                <w:tcPr>
                  <w:tcW w:w="638" w:type="pct"/>
                  <w:vAlign w:val="center"/>
                </w:tcPr>
                <w:p>
                  <w:pPr>
                    <w:autoSpaceDE w:val="0"/>
                    <w:autoSpaceDN w:val="0"/>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622" w:type="pct"/>
                  <w:vMerge w:val="continue"/>
                  <w:vAlign w:val="center"/>
                </w:tcPr>
                <w:p>
                  <w:pPr>
                    <w:autoSpaceDE w:val="0"/>
                    <w:autoSpaceDN w:val="0"/>
                    <w:adjustRightInd w:val="0"/>
                    <w:snapToGrid w:val="0"/>
                    <w:rPr>
                      <w:rFonts w:ascii="Times New Roman" w:hAnsi="Times New Roman" w:eastAsia="宋体" w:cs="Times New Roman"/>
                      <w:szCs w:val="21"/>
                    </w:rPr>
                  </w:pPr>
                </w:p>
              </w:tc>
              <w:tc>
                <w:tcPr>
                  <w:tcW w:w="1928" w:type="pct"/>
                  <w:vAlign w:val="center"/>
                </w:tcPr>
                <w:p>
                  <w:pPr>
                    <w:autoSpaceDE w:val="0"/>
                    <w:autoSpaceDN w:val="0"/>
                    <w:adjustRightInd w:val="0"/>
                    <w:snapToGrid w:val="0"/>
                    <w:rPr>
                      <w:rFonts w:ascii="Times New Roman" w:hAnsi="Times New Roman" w:eastAsia="宋体" w:cs="Times New Roman"/>
                      <w:szCs w:val="21"/>
                    </w:rPr>
                  </w:pPr>
                  <w:r>
                    <w:rPr>
                      <w:rFonts w:ascii="Times New Roman" w:hAnsi="Times New Roman" w:eastAsia="宋体" w:cs="Times New Roman"/>
                      <w:szCs w:val="21"/>
                    </w:rPr>
                    <w:t>23、全面推行排污许可。依法核发排污许可证。2015年底前，完成国控重点污染源及排污权有偿使用和交易试点地区污染源排污许可证的核发工作，其他污染源于2017年底前完成。</w:t>
                  </w:r>
                </w:p>
              </w:tc>
              <w:tc>
                <w:tcPr>
                  <w:tcW w:w="1811" w:type="pct"/>
                  <w:vAlign w:val="center"/>
                </w:tcPr>
                <w:p>
                  <w:pPr>
                    <w:autoSpaceDE w:val="0"/>
                    <w:autoSpaceDN w:val="0"/>
                    <w:adjustRightInd w:val="0"/>
                    <w:snapToGrid w:val="0"/>
                    <w:rPr>
                      <w:rFonts w:ascii="Times New Roman" w:hAnsi="Times New Roman" w:eastAsia="宋体" w:cs="Times New Roman"/>
                      <w:szCs w:val="21"/>
                    </w:rPr>
                  </w:pPr>
                  <w:r>
                    <w:rPr>
                      <w:rFonts w:ascii="Times New Roman" w:hAnsi="Times New Roman" w:eastAsia="宋体" w:cs="Times New Roman"/>
                      <w:szCs w:val="21"/>
                    </w:rPr>
                    <w:t>本项目为</w:t>
                  </w:r>
                  <w:r>
                    <w:rPr>
                      <w:rFonts w:hint="eastAsia" w:ascii="Times New Roman" w:hAnsi="Times New Roman" w:eastAsia="宋体" w:cs="Times New Roman"/>
                      <w:szCs w:val="21"/>
                    </w:rPr>
                    <w:t>沙、石加工项目</w:t>
                  </w:r>
                  <w:r>
                    <w:rPr>
                      <w:rFonts w:ascii="Times New Roman" w:hAnsi="Times New Roman" w:eastAsia="宋体" w:cs="Times New Roman"/>
                      <w:szCs w:val="21"/>
                    </w:rPr>
                    <w:t>，位于</w:t>
                  </w:r>
                  <w:r>
                    <w:rPr>
                      <w:rFonts w:ascii="Times New Roman" w:hAnsi="Times New Roman" w:eastAsia="宋体" w:cs="Times New Roman"/>
                      <w:szCs w:val="21"/>
                      <w:lang w:val="zh-CN"/>
                    </w:rPr>
                    <w:t>云县爱华镇河湾村委会马家庄组</w:t>
                  </w:r>
                  <w:r>
                    <w:rPr>
                      <w:rFonts w:ascii="Times New Roman" w:hAnsi="Times New Roman" w:eastAsia="宋体" w:cs="Times New Roman"/>
                      <w:szCs w:val="21"/>
                    </w:rPr>
                    <w:t>，根据《固定污染源排污许可分类管理名录（2019年版）》可知，本项目属于简化管理，不属于国控重点污染源及排污权有偿使用和交易试点地区。</w:t>
                  </w:r>
                </w:p>
              </w:tc>
              <w:tc>
                <w:tcPr>
                  <w:tcW w:w="638" w:type="pct"/>
                  <w:vAlign w:val="center"/>
                </w:tcPr>
                <w:p>
                  <w:pPr>
                    <w:autoSpaceDE w:val="0"/>
                    <w:autoSpaceDN w:val="0"/>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622" w:type="pct"/>
                  <w:vAlign w:val="center"/>
                </w:tcPr>
                <w:p>
                  <w:pPr>
                    <w:autoSpaceDE w:val="0"/>
                    <w:autoSpaceDN w:val="0"/>
                    <w:adjustRightInd w:val="0"/>
                    <w:snapToGrid w:val="0"/>
                    <w:rPr>
                      <w:rFonts w:ascii="Times New Roman" w:hAnsi="Times New Roman" w:eastAsia="宋体" w:cs="Times New Roman"/>
                      <w:szCs w:val="21"/>
                    </w:rPr>
                  </w:pPr>
                  <w:r>
                    <w:rPr>
                      <w:rFonts w:ascii="Times New Roman" w:hAnsi="Times New Roman" w:eastAsia="宋体" w:cs="Times New Roman"/>
                      <w:szCs w:val="21"/>
                    </w:rPr>
                    <w:t>九、明确和落实各方责任</w:t>
                  </w:r>
                </w:p>
              </w:tc>
              <w:tc>
                <w:tcPr>
                  <w:tcW w:w="1928" w:type="pct"/>
                  <w:vAlign w:val="center"/>
                </w:tcPr>
                <w:p>
                  <w:pPr>
                    <w:autoSpaceDE w:val="0"/>
                    <w:autoSpaceDN w:val="0"/>
                    <w:adjustRightInd w:val="0"/>
                    <w:snapToGrid w:val="0"/>
                    <w:rPr>
                      <w:rFonts w:ascii="Times New Roman" w:hAnsi="Times New Roman" w:eastAsia="宋体" w:cs="Times New Roman"/>
                      <w:szCs w:val="21"/>
                    </w:rPr>
                  </w:pPr>
                  <w:r>
                    <w:rPr>
                      <w:rFonts w:ascii="Times New Roman" w:hAnsi="Times New Roman" w:eastAsia="宋体" w:cs="Times New Roman"/>
                      <w:szCs w:val="21"/>
                    </w:rPr>
                    <w:t>31、落实排污单位主体责任。各类排污单位要严格执行环保法律法规和制度，加强污染治理设施建设和运行管理，开展自行监测，落实治污减排、环境风险防范等责任。中央企业和国有企业要带头落实，工业集聚区内的企业要探索建立环保自律机制。</w:t>
                  </w:r>
                </w:p>
              </w:tc>
              <w:tc>
                <w:tcPr>
                  <w:tcW w:w="1811" w:type="pct"/>
                  <w:vAlign w:val="center"/>
                </w:tcPr>
                <w:p>
                  <w:pPr>
                    <w:autoSpaceDE w:val="0"/>
                    <w:autoSpaceDN w:val="0"/>
                    <w:adjustRightInd w:val="0"/>
                    <w:snapToGrid w:val="0"/>
                    <w:rPr>
                      <w:rFonts w:ascii="Times New Roman" w:hAnsi="Times New Roman" w:eastAsia="宋体" w:cs="Times New Roman"/>
                      <w:szCs w:val="21"/>
                    </w:rPr>
                  </w:pPr>
                  <w:r>
                    <w:rPr>
                      <w:rFonts w:ascii="Times New Roman" w:hAnsi="Times New Roman" w:eastAsia="宋体" w:cs="Times New Roman"/>
                      <w:szCs w:val="21"/>
                    </w:rPr>
                    <w:t>本项目产生的废气、噪声、废水、固废采取环评提出的环保措施后可达标排放，运营期还应定期开展自行监测，按时填报排污许可证，落实环境风险防范。</w:t>
                  </w:r>
                </w:p>
              </w:tc>
              <w:tc>
                <w:tcPr>
                  <w:tcW w:w="638" w:type="pct"/>
                  <w:vAlign w:val="center"/>
                </w:tcPr>
                <w:p>
                  <w:pPr>
                    <w:autoSpaceDE w:val="0"/>
                    <w:autoSpaceDN w:val="0"/>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符合</w:t>
                  </w:r>
                </w:p>
              </w:tc>
            </w:tr>
          </w:tbl>
          <w:p>
            <w:pPr>
              <w:pStyle w:val="16"/>
              <w:rPr>
                <w:rFonts w:ascii="Times New Roman" w:hAnsi="Times New Roman" w:eastAsia="宋体" w:cs="Times New Roman"/>
                <w:b/>
                <w:bCs/>
                <w:sz w:val="24"/>
              </w:rPr>
            </w:pPr>
          </w:p>
          <w:p>
            <w:pPr>
              <w:pStyle w:val="36"/>
              <w:snapToGrid w:val="0"/>
              <w:jc w:val="center"/>
              <w:rPr>
                <w:rFonts w:ascii="Times New Roman" w:cs="Times New Roman"/>
                <w:b/>
                <w:bCs/>
                <w:color w:val="auto"/>
                <w:sz w:val="21"/>
                <w:szCs w:val="21"/>
              </w:rPr>
            </w:pPr>
            <w:r>
              <w:rPr>
                <w:rFonts w:ascii="Times New Roman" w:cs="Times New Roman"/>
                <w:b/>
                <w:bCs/>
                <w:color w:val="auto"/>
                <w:sz w:val="21"/>
                <w:szCs w:val="21"/>
              </w:rPr>
              <w:t>表1-</w:t>
            </w:r>
            <w:r>
              <w:rPr>
                <w:rFonts w:hint="eastAsia" w:ascii="Times New Roman" w:cs="Times New Roman"/>
                <w:b/>
                <w:bCs/>
                <w:color w:val="auto"/>
                <w:sz w:val="21"/>
                <w:szCs w:val="21"/>
              </w:rPr>
              <w:t>4</w:t>
            </w:r>
            <w:r>
              <w:rPr>
                <w:rFonts w:ascii="Times New Roman" w:cs="Times New Roman"/>
                <w:b/>
                <w:bCs/>
                <w:color w:val="auto"/>
                <w:sz w:val="21"/>
                <w:szCs w:val="21"/>
              </w:rPr>
              <w:t xml:space="preserve"> 项目与《大气污染防治行动计划》符合性分析</w:t>
            </w:r>
          </w:p>
          <w:tbl>
            <w:tblPr>
              <w:tblStyle w:val="30"/>
              <w:tblW w:w="488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6"/>
              <w:gridCol w:w="2362"/>
              <w:gridCol w:w="1505"/>
              <w:gridCol w:w="1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94" w:type="pct"/>
                  <w:vAlign w:val="center"/>
                </w:tcPr>
                <w:p>
                  <w:pPr>
                    <w:autoSpaceDE w:val="0"/>
                    <w:autoSpaceDN w:val="0"/>
                    <w:adjustRightInd w:val="0"/>
                    <w:snapToGrid w:val="0"/>
                    <w:rPr>
                      <w:rFonts w:ascii="Times New Roman" w:hAnsi="Times New Roman" w:eastAsia="宋体" w:cs="Times New Roman"/>
                      <w:b/>
                      <w:bCs/>
                      <w:szCs w:val="21"/>
                    </w:rPr>
                  </w:pPr>
                  <w:r>
                    <w:rPr>
                      <w:rFonts w:ascii="Times New Roman" w:hAnsi="Times New Roman" w:eastAsia="宋体" w:cs="Times New Roman"/>
                      <w:b/>
                      <w:bCs/>
                      <w:szCs w:val="21"/>
                    </w:rPr>
                    <w:t>类别</w:t>
                  </w:r>
                </w:p>
              </w:tc>
              <w:tc>
                <w:tcPr>
                  <w:tcW w:w="1716" w:type="pct"/>
                  <w:vAlign w:val="center"/>
                </w:tcPr>
                <w:p>
                  <w:pPr>
                    <w:autoSpaceDE w:val="0"/>
                    <w:autoSpaceDN w:val="0"/>
                    <w:adjustRightInd w:val="0"/>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相关要求</w:t>
                  </w:r>
                </w:p>
              </w:tc>
              <w:tc>
                <w:tcPr>
                  <w:tcW w:w="1094" w:type="pct"/>
                  <w:vAlign w:val="center"/>
                </w:tcPr>
                <w:p>
                  <w:pPr>
                    <w:autoSpaceDE w:val="0"/>
                    <w:autoSpaceDN w:val="0"/>
                    <w:adjustRightInd w:val="0"/>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本项目情况</w:t>
                  </w:r>
                </w:p>
              </w:tc>
              <w:tc>
                <w:tcPr>
                  <w:tcW w:w="1094" w:type="pct"/>
                  <w:vAlign w:val="center"/>
                </w:tcPr>
                <w:p>
                  <w:pPr>
                    <w:autoSpaceDE w:val="0"/>
                    <w:autoSpaceDN w:val="0"/>
                    <w:adjustRightInd w:val="0"/>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94" w:type="pct"/>
                  <w:vMerge w:val="restart"/>
                  <w:vAlign w:val="center"/>
                </w:tcPr>
                <w:p>
                  <w:pPr>
                    <w:autoSpaceDE w:val="0"/>
                    <w:autoSpaceDN w:val="0"/>
                    <w:adjustRightInd w:val="0"/>
                    <w:snapToGrid w:val="0"/>
                    <w:rPr>
                      <w:rFonts w:ascii="Times New Roman" w:hAnsi="Times New Roman" w:eastAsia="宋体" w:cs="Times New Roman"/>
                      <w:szCs w:val="21"/>
                    </w:rPr>
                  </w:pPr>
                  <w:r>
                    <w:rPr>
                      <w:rFonts w:ascii="Times New Roman" w:hAnsi="Times New Roman" w:eastAsia="宋体" w:cs="Times New Roman"/>
                      <w:szCs w:val="21"/>
                    </w:rPr>
                    <w:t>一、加大综合治理力度，减少多污染物排放</w:t>
                  </w:r>
                </w:p>
              </w:tc>
              <w:tc>
                <w:tcPr>
                  <w:tcW w:w="1716" w:type="pct"/>
                  <w:vAlign w:val="center"/>
                </w:tcPr>
                <w:p>
                  <w:pPr>
                    <w:autoSpaceDE w:val="0"/>
                    <w:autoSpaceDN w:val="0"/>
                    <w:adjustRightInd w:val="0"/>
                    <w:snapToGrid w:val="0"/>
                    <w:rPr>
                      <w:rFonts w:ascii="Times New Roman" w:hAnsi="Times New Roman" w:eastAsia="宋体" w:cs="Times New Roman"/>
                      <w:szCs w:val="21"/>
                    </w:rPr>
                  </w:pPr>
                  <w:r>
                    <w:rPr>
                      <w:rFonts w:ascii="Times New Roman" w:hAnsi="Times New Roman" w:eastAsia="宋体" w:cs="Times New Roman"/>
                      <w:szCs w:val="21"/>
                    </w:rPr>
                    <w:t>1、加强工业企业大气污染综合治理。全面整治燃煤小锅炉。加快推进集中供热、煤改气、“煤改电”工程建设，到2017年，除必要保留的以外，地级及以上城市建成区基本淘汰每小时10蒸吨及以下的燃煤锅炉，禁止新建每小时20蒸吨以下的燃煤锅炉；其他地区原则上不再新建每小时10蒸吨以下的燃煤锅炉。在供热供气管网不能覆盖的地区，改用电、新能源或洁净煤，推广应用高效节能环保型锅炉。在化工、造纸、印染、制革、制药等产业集聚区，通过集中建设热电联产机组逐步淘汰分散燃煤锅炉。</w:t>
                  </w:r>
                </w:p>
              </w:tc>
              <w:tc>
                <w:tcPr>
                  <w:tcW w:w="1094" w:type="pct"/>
                  <w:vAlign w:val="center"/>
                </w:tcPr>
                <w:p>
                  <w:pPr>
                    <w:tabs>
                      <w:tab w:val="left" w:pos="611"/>
                    </w:tabs>
                    <w:autoSpaceDE w:val="0"/>
                    <w:autoSpaceDN w:val="0"/>
                    <w:adjustRightInd w:val="0"/>
                    <w:snapToGrid w:val="0"/>
                    <w:rPr>
                      <w:rFonts w:ascii="Times New Roman" w:hAnsi="Times New Roman" w:eastAsia="宋体" w:cs="Times New Roman"/>
                      <w:szCs w:val="21"/>
                    </w:rPr>
                  </w:pPr>
                  <w:r>
                    <w:rPr>
                      <w:rFonts w:ascii="Times New Roman" w:hAnsi="Times New Roman" w:eastAsia="宋体" w:cs="Times New Roman"/>
                      <w:szCs w:val="21"/>
                    </w:rPr>
                    <w:t>本项目运营期不涉及燃煤锅炉的使用。</w:t>
                  </w:r>
                </w:p>
              </w:tc>
              <w:tc>
                <w:tcPr>
                  <w:tcW w:w="1094" w:type="pct"/>
                  <w:vAlign w:val="center"/>
                </w:tcPr>
                <w:p>
                  <w:pPr>
                    <w:autoSpaceDE w:val="0"/>
                    <w:autoSpaceDN w:val="0"/>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94" w:type="pct"/>
                  <w:vMerge w:val="continue"/>
                  <w:vAlign w:val="center"/>
                </w:tcPr>
                <w:p>
                  <w:pPr>
                    <w:autoSpaceDE w:val="0"/>
                    <w:autoSpaceDN w:val="0"/>
                    <w:adjustRightInd w:val="0"/>
                    <w:snapToGrid w:val="0"/>
                    <w:rPr>
                      <w:rFonts w:ascii="Times New Roman" w:hAnsi="Times New Roman" w:eastAsia="宋体" w:cs="Times New Roman"/>
                      <w:szCs w:val="21"/>
                    </w:rPr>
                  </w:pPr>
                </w:p>
              </w:tc>
              <w:tc>
                <w:tcPr>
                  <w:tcW w:w="1716" w:type="pct"/>
                  <w:vAlign w:val="center"/>
                </w:tcPr>
                <w:p>
                  <w:pPr>
                    <w:autoSpaceDE w:val="0"/>
                    <w:autoSpaceDN w:val="0"/>
                    <w:adjustRightInd w:val="0"/>
                    <w:snapToGrid w:val="0"/>
                    <w:rPr>
                      <w:rFonts w:ascii="Times New Roman" w:hAnsi="Times New Roman" w:eastAsia="宋体" w:cs="Times New Roman"/>
                      <w:szCs w:val="21"/>
                    </w:rPr>
                  </w:pPr>
                  <w:r>
                    <w:rPr>
                      <w:rFonts w:ascii="Times New Roman" w:hAnsi="Times New Roman" w:eastAsia="宋体" w:cs="Times New Roman"/>
                      <w:szCs w:val="21"/>
                    </w:rPr>
                    <w:t>2、深化面源污染治理。综合整治城市扬尘。加强施工扬尘监管，积极推进绿色施工，建设工程施工现场应全封闭设置围挡墙，严禁敞开式作业，施工现场道路应进行地面硬化。渣土运输车辆应采取密闭措施，并逐步安装卫星定位系统。推行道路机械化清扫等低尘作业方式。大型煤堆、料堆要实现封闭储存或建设防风抑尘设施。推进城市及周边绿化和防风防沙林建设，扩大城市建成区绿地规模。</w:t>
                  </w:r>
                </w:p>
              </w:tc>
              <w:tc>
                <w:tcPr>
                  <w:tcW w:w="1094" w:type="pct"/>
                  <w:vAlign w:val="center"/>
                </w:tcPr>
                <w:p>
                  <w:pPr>
                    <w:autoSpaceDE w:val="0"/>
                    <w:autoSpaceDN w:val="0"/>
                    <w:adjustRightInd w:val="0"/>
                    <w:snapToGrid w:val="0"/>
                    <w:rPr>
                      <w:rFonts w:ascii="Times New Roman" w:hAnsi="Times New Roman" w:eastAsia="宋体" w:cs="Times New Roman"/>
                      <w:szCs w:val="21"/>
                    </w:rPr>
                  </w:pPr>
                  <w:r>
                    <w:rPr>
                      <w:rFonts w:ascii="Times New Roman" w:hAnsi="Times New Roman" w:eastAsia="宋体" w:cs="Times New Roman"/>
                      <w:szCs w:val="21"/>
                    </w:rPr>
                    <w:t>本项目施工期</w:t>
                  </w:r>
                  <w:r>
                    <w:rPr>
                      <w:rFonts w:hint="eastAsia" w:ascii="Times New Roman" w:hAnsi="Times New Roman" w:eastAsia="宋体" w:cs="Times New Roman"/>
                      <w:szCs w:val="21"/>
                    </w:rPr>
                    <w:t>较短，已加强扬尘监管，</w:t>
                  </w:r>
                  <w:r>
                    <w:rPr>
                      <w:rFonts w:ascii="Times New Roman" w:hAnsi="Times New Roman" w:eastAsia="宋体" w:cs="Times New Roman"/>
                      <w:szCs w:val="21"/>
                    </w:rPr>
                    <w:t>厂区设置围挡，施工现场道路已进行地面硬化。</w:t>
                  </w:r>
                </w:p>
              </w:tc>
              <w:tc>
                <w:tcPr>
                  <w:tcW w:w="1094" w:type="pct"/>
                  <w:vAlign w:val="center"/>
                </w:tcPr>
                <w:p>
                  <w:pPr>
                    <w:autoSpaceDE w:val="0"/>
                    <w:autoSpaceDN w:val="0"/>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94" w:type="pct"/>
                  <w:vMerge w:val="restart"/>
                  <w:vAlign w:val="center"/>
                </w:tcPr>
                <w:p>
                  <w:pPr>
                    <w:autoSpaceDE w:val="0"/>
                    <w:autoSpaceDN w:val="0"/>
                    <w:adjustRightInd w:val="0"/>
                    <w:snapToGrid w:val="0"/>
                    <w:rPr>
                      <w:rFonts w:ascii="Times New Roman" w:hAnsi="Times New Roman" w:eastAsia="宋体" w:cs="Times New Roman"/>
                      <w:szCs w:val="21"/>
                    </w:rPr>
                  </w:pPr>
                  <w:r>
                    <w:rPr>
                      <w:rFonts w:ascii="Times New Roman" w:hAnsi="Times New Roman" w:eastAsia="宋体" w:cs="Times New Roman"/>
                      <w:szCs w:val="21"/>
                    </w:rPr>
                    <w:t>二、调整优化产业结构，推动产业转型升级</w:t>
                  </w:r>
                </w:p>
              </w:tc>
              <w:tc>
                <w:tcPr>
                  <w:tcW w:w="1716" w:type="pct"/>
                  <w:vAlign w:val="center"/>
                </w:tcPr>
                <w:p>
                  <w:pPr>
                    <w:autoSpaceDE w:val="0"/>
                    <w:autoSpaceDN w:val="0"/>
                    <w:adjustRightInd w:val="0"/>
                    <w:snapToGrid w:val="0"/>
                    <w:rPr>
                      <w:rFonts w:ascii="Times New Roman" w:hAnsi="Times New Roman" w:eastAsia="宋体" w:cs="Times New Roman"/>
                      <w:szCs w:val="21"/>
                    </w:rPr>
                  </w:pPr>
                  <w:r>
                    <w:rPr>
                      <w:rFonts w:ascii="Times New Roman" w:hAnsi="Times New Roman" w:eastAsia="宋体" w:cs="Times New Roman"/>
                      <w:szCs w:val="21"/>
                    </w:rPr>
                    <w:t>4、严控“两高”行业新增产能。修订高耗能、高污染和资源性行业准入条件，明确资源能源节约和污染物排放等指标。有条件的地区要制定符合当地功能定位、严于国家要求的产业准入目录。严格控制“两高”行业新增产能，新、改、扩建项目要实行产能等量或减量置换。</w:t>
                  </w:r>
                </w:p>
              </w:tc>
              <w:tc>
                <w:tcPr>
                  <w:tcW w:w="1094" w:type="pct"/>
                  <w:vAlign w:val="center"/>
                </w:tcPr>
                <w:p>
                  <w:pPr>
                    <w:autoSpaceDE w:val="0"/>
                    <w:autoSpaceDN w:val="0"/>
                    <w:adjustRightInd w:val="0"/>
                    <w:snapToGrid w:val="0"/>
                    <w:rPr>
                      <w:rFonts w:ascii="Times New Roman" w:hAnsi="Times New Roman" w:eastAsia="宋体" w:cs="Times New Roman"/>
                      <w:szCs w:val="21"/>
                    </w:rPr>
                  </w:pPr>
                  <w:r>
                    <w:rPr>
                      <w:rFonts w:ascii="Times New Roman" w:hAnsi="Times New Roman" w:eastAsia="宋体" w:cs="Times New Roman"/>
                      <w:szCs w:val="21"/>
                    </w:rPr>
                    <w:t>本项目为</w:t>
                  </w:r>
                  <w:r>
                    <w:rPr>
                      <w:rFonts w:hint="eastAsia" w:ascii="Times New Roman" w:hAnsi="Times New Roman" w:eastAsia="宋体" w:cs="Times New Roman"/>
                      <w:szCs w:val="21"/>
                    </w:rPr>
                    <w:t>沙、石加工项目</w:t>
                  </w:r>
                  <w:r>
                    <w:rPr>
                      <w:rFonts w:ascii="Times New Roman" w:hAnsi="Times New Roman" w:eastAsia="宋体" w:cs="Times New Roman"/>
                      <w:szCs w:val="21"/>
                    </w:rPr>
                    <w:t>，产生的污染较小，不属于“两高”行业。</w:t>
                  </w:r>
                </w:p>
              </w:tc>
              <w:tc>
                <w:tcPr>
                  <w:tcW w:w="1094" w:type="pct"/>
                  <w:vAlign w:val="center"/>
                </w:tcPr>
                <w:p>
                  <w:pPr>
                    <w:autoSpaceDE w:val="0"/>
                    <w:autoSpaceDN w:val="0"/>
                    <w:adjustRightInd w:val="0"/>
                    <w:snapToGrid w:val="0"/>
                    <w:jc w:val="center"/>
                    <w:rPr>
                      <w:rFonts w:ascii="Times New Roman" w:hAnsi="Times New Roman" w:eastAsia="宋体" w:cs="Times New Roman"/>
                      <w:b/>
                      <w:bCs/>
                      <w:szCs w:val="21"/>
                    </w:rPr>
                  </w:pPr>
                  <w:r>
                    <w:rPr>
                      <w:rFonts w:ascii="Times New Roman" w:hAnsi="Times New Roman" w:eastAsia="宋体" w:cs="Times New Roman"/>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94" w:type="pct"/>
                  <w:vMerge w:val="continue"/>
                  <w:vAlign w:val="center"/>
                </w:tcPr>
                <w:p>
                  <w:pPr>
                    <w:autoSpaceDE w:val="0"/>
                    <w:autoSpaceDN w:val="0"/>
                    <w:adjustRightInd w:val="0"/>
                    <w:snapToGrid w:val="0"/>
                    <w:rPr>
                      <w:rFonts w:ascii="Times New Roman" w:hAnsi="Times New Roman" w:eastAsia="宋体" w:cs="Times New Roman"/>
                      <w:szCs w:val="21"/>
                    </w:rPr>
                  </w:pPr>
                </w:p>
              </w:tc>
              <w:tc>
                <w:tcPr>
                  <w:tcW w:w="1716" w:type="pct"/>
                  <w:vAlign w:val="center"/>
                </w:tcPr>
                <w:p>
                  <w:pPr>
                    <w:autoSpaceDE w:val="0"/>
                    <w:autoSpaceDN w:val="0"/>
                    <w:adjustRightInd w:val="0"/>
                    <w:snapToGrid w:val="0"/>
                    <w:rPr>
                      <w:rFonts w:ascii="Times New Roman" w:hAnsi="Times New Roman" w:eastAsia="宋体" w:cs="Times New Roman"/>
                      <w:szCs w:val="21"/>
                    </w:rPr>
                  </w:pPr>
                  <w:r>
                    <w:rPr>
                      <w:rFonts w:ascii="Times New Roman" w:hAnsi="Times New Roman" w:eastAsia="宋体" w:cs="Times New Roman"/>
                      <w:szCs w:val="21"/>
                    </w:rPr>
                    <w:t>5、加快淘汰落后产能。结合产业发展实际和环境质量状况，进一步提高环保、能耗、安全、质量等标准，分区域明确落后产能淘汰任务，倒逼产业转型升级。</w:t>
                  </w:r>
                </w:p>
              </w:tc>
              <w:tc>
                <w:tcPr>
                  <w:tcW w:w="1094" w:type="pct"/>
                  <w:vAlign w:val="center"/>
                </w:tcPr>
                <w:p>
                  <w:pPr>
                    <w:autoSpaceDE w:val="0"/>
                    <w:autoSpaceDN w:val="0"/>
                    <w:adjustRightInd w:val="0"/>
                    <w:snapToGrid w:val="0"/>
                    <w:rPr>
                      <w:rFonts w:ascii="Times New Roman" w:hAnsi="Times New Roman" w:eastAsia="宋体" w:cs="Times New Roman"/>
                      <w:szCs w:val="21"/>
                    </w:rPr>
                  </w:pPr>
                  <w:r>
                    <w:rPr>
                      <w:rFonts w:ascii="Times New Roman" w:hAnsi="Times New Roman" w:eastAsia="宋体" w:cs="Times New Roman"/>
                      <w:szCs w:val="21"/>
                    </w:rPr>
                    <w:t>本项目产品及使用的原材料、生产设备、生产工艺等均未列于《产业结构调整指导目录》（2019年本）中限制类、淘汰类。</w:t>
                  </w:r>
                </w:p>
              </w:tc>
              <w:tc>
                <w:tcPr>
                  <w:tcW w:w="1094" w:type="pct"/>
                  <w:vAlign w:val="center"/>
                </w:tcPr>
                <w:p>
                  <w:pPr>
                    <w:autoSpaceDE w:val="0"/>
                    <w:autoSpaceDN w:val="0"/>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94" w:type="pct"/>
                  <w:vAlign w:val="center"/>
                </w:tcPr>
                <w:p>
                  <w:pPr>
                    <w:autoSpaceDE w:val="0"/>
                    <w:autoSpaceDN w:val="0"/>
                    <w:adjustRightInd w:val="0"/>
                    <w:snapToGrid w:val="0"/>
                    <w:rPr>
                      <w:rFonts w:ascii="Times New Roman" w:hAnsi="Times New Roman" w:eastAsia="宋体" w:cs="Times New Roman"/>
                      <w:szCs w:val="21"/>
                    </w:rPr>
                  </w:pPr>
                  <w:r>
                    <w:rPr>
                      <w:rFonts w:ascii="Times New Roman" w:hAnsi="Times New Roman" w:eastAsia="宋体" w:cs="Times New Roman"/>
                      <w:szCs w:val="21"/>
                    </w:rPr>
                    <w:t>五、严格节能环保准入，优化产业空间布局</w:t>
                  </w:r>
                </w:p>
              </w:tc>
              <w:tc>
                <w:tcPr>
                  <w:tcW w:w="1716" w:type="pct"/>
                  <w:vAlign w:val="center"/>
                </w:tcPr>
                <w:p>
                  <w:pPr>
                    <w:autoSpaceDE w:val="0"/>
                    <w:autoSpaceDN w:val="0"/>
                    <w:adjustRightInd w:val="0"/>
                    <w:snapToGrid w:val="0"/>
                    <w:rPr>
                      <w:rFonts w:ascii="Times New Roman" w:hAnsi="Times New Roman" w:eastAsia="宋体" w:cs="Times New Roman"/>
                      <w:szCs w:val="21"/>
                    </w:rPr>
                  </w:pPr>
                  <w:r>
                    <w:rPr>
                      <w:rFonts w:ascii="Times New Roman" w:hAnsi="Times New Roman" w:eastAsia="宋体" w:cs="Times New Roman"/>
                      <w:szCs w:val="21"/>
                    </w:rPr>
                    <w:t>17、强化节能环保指标约束。提高节能环保准入门槛，健全重点行业准入条件，公布符合准入条件的企业名单并实施动态管理。严格实施污染物排放总量控制，将二氧化硫、氮氧化物、烟粉尘和挥发性有机物排放是否符合总量控制要求作为建设项目环境影响评价审批的前置条件。</w:t>
                  </w:r>
                </w:p>
              </w:tc>
              <w:tc>
                <w:tcPr>
                  <w:tcW w:w="1094" w:type="pct"/>
                  <w:vAlign w:val="center"/>
                </w:tcPr>
                <w:p>
                  <w:pPr>
                    <w:autoSpaceDE w:val="0"/>
                    <w:autoSpaceDN w:val="0"/>
                    <w:adjustRightInd w:val="0"/>
                    <w:snapToGrid w:val="0"/>
                    <w:rPr>
                      <w:rFonts w:ascii="Times New Roman" w:hAnsi="Times New Roman" w:eastAsia="宋体" w:cs="Times New Roman"/>
                      <w:szCs w:val="21"/>
                    </w:rPr>
                  </w:pPr>
                  <w:r>
                    <w:rPr>
                      <w:rFonts w:ascii="Times New Roman" w:hAnsi="Times New Roman" w:eastAsia="宋体" w:cs="Times New Roman"/>
                      <w:szCs w:val="21"/>
                    </w:rPr>
                    <w:t>本项目运营期产生的粉尘经过处理后排放量较小，符合总量控制要求。</w:t>
                  </w:r>
                </w:p>
              </w:tc>
              <w:tc>
                <w:tcPr>
                  <w:tcW w:w="1094" w:type="pct"/>
                  <w:vAlign w:val="center"/>
                </w:tcPr>
                <w:p>
                  <w:pPr>
                    <w:autoSpaceDE w:val="0"/>
                    <w:autoSpaceDN w:val="0"/>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符合</w:t>
                  </w:r>
                </w:p>
              </w:tc>
            </w:tr>
          </w:tbl>
          <w:p>
            <w:pPr>
              <w:pStyle w:val="36"/>
              <w:jc w:val="both"/>
              <w:rPr>
                <w:rFonts w:ascii="Times New Roman" w:cs="Times New Roman"/>
                <w:color w:val="auto"/>
              </w:rPr>
            </w:pPr>
          </w:p>
          <w:p>
            <w:pPr>
              <w:pStyle w:val="36"/>
              <w:snapToGrid w:val="0"/>
              <w:jc w:val="center"/>
              <w:rPr>
                <w:rFonts w:ascii="Times New Roman" w:cs="Times New Roman"/>
                <w:b/>
                <w:bCs/>
                <w:color w:val="auto"/>
                <w:sz w:val="21"/>
                <w:szCs w:val="21"/>
              </w:rPr>
            </w:pPr>
            <w:r>
              <w:rPr>
                <w:rFonts w:ascii="Times New Roman" w:cs="Times New Roman"/>
                <w:b/>
                <w:bCs/>
                <w:color w:val="auto"/>
                <w:kern w:val="0"/>
                <w:sz w:val="21"/>
                <w:szCs w:val="21"/>
                <w:lang w:bidi="ar"/>
              </w:rPr>
              <w:t>表1-</w:t>
            </w:r>
            <w:r>
              <w:rPr>
                <w:rFonts w:hint="eastAsia" w:ascii="Times New Roman" w:cs="Times New Roman"/>
                <w:b/>
                <w:bCs/>
                <w:color w:val="auto"/>
                <w:kern w:val="0"/>
                <w:sz w:val="21"/>
                <w:szCs w:val="21"/>
                <w:lang w:bidi="ar"/>
              </w:rPr>
              <w:t>5</w:t>
            </w:r>
            <w:r>
              <w:rPr>
                <w:rFonts w:ascii="Times New Roman" w:cs="Times New Roman"/>
                <w:b/>
                <w:bCs/>
                <w:color w:val="auto"/>
                <w:kern w:val="0"/>
                <w:sz w:val="21"/>
                <w:szCs w:val="21"/>
                <w:lang w:bidi="ar"/>
              </w:rPr>
              <w:t xml:space="preserve"> </w:t>
            </w:r>
            <w:r>
              <w:rPr>
                <w:rFonts w:ascii="Times New Roman" w:cs="Times New Roman"/>
                <w:b/>
                <w:bCs/>
                <w:color w:val="auto"/>
                <w:sz w:val="21"/>
                <w:szCs w:val="21"/>
              </w:rPr>
              <w:t>项目与</w:t>
            </w:r>
            <w:r>
              <w:rPr>
                <w:rFonts w:ascii="Times New Roman" w:cs="Times New Roman"/>
                <w:b/>
                <w:bCs/>
                <w:color w:val="auto"/>
                <w:sz w:val="21"/>
                <w:szCs w:val="21"/>
                <w:shd w:val="clear" w:color="auto" w:fill="FFFFFF"/>
              </w:rPr>
              <w:t>《土壤污染防治行动计划》</w:t>
            </w:r>
            <w:r>
              <w:rPr>
                <w:rFonts w:ascii="Times New Roman" w:cs="Times New Roman"/>
                <w:b/>
                <w:bCs/>
                <w:color w:val="auto"/>
                <w:sz w:val="21"/>
                <w:szCs w:val="21"/>
              </w:rPr>
              <w:t>符合性分析</w:t>
            </w:r>
          </w:p>
          <w:tbl>
            <w:tblPr>
              <w:tblStyle w:val="30"/>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1954"/>
              <w:gridCol w:w="3412"/>
              <w:gridCol w:w="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74" w:type="pct"/>
                  <w:tcBorders>
                    <w:tl2br w:val="nil"/>
                    <w:tr2bl w:val="nil"/>
                  </w:tcBorders>
                  <w:vAlign w:val="center"/>
                </w:tcPr>
                <w:p>
                  <w:pPr>
                    <w:adjustRightInd w:val="0"/>
                    <w:snapToGrid w:val="0"/>
                    <w:jc w:val="center"/>
                    <w:rPr>
                      <w:rFonts w:ascii="Times New Roman" w:hAnsi="Times New Roman" w:eastAsia="宋体" w:cs="Times New Roman"/>
                      <w:b/>
                      <w:bCs/>
                      <w:szCs w:val="21"/>
                      <w:lang w:val="zh-CN"/>
                    </w:rPr>
                  </w:pPr>
                  <w:bookmarkStart w:id="22" w:name="_Toc23822"/>
                  <w:bookmarkStart w:id="23" w:name="_Toc12432"/>
                  <w:bookmarkStart w:id="24" w:name="_Toc26748"/>
                  <w:bookmarkStart w:id="25" w:name="_Toc10147"/>
                  <w:bookmarkStart w:id="26" w:name="_Toc16073"/>
                  <w:bookmarkStart w:id="27" w:name="_Toc10786"/>
                  <w:bookmarkStart w:id="28" w:name="_Toc1097"/>
                  <w:bookmarkStart w:id="29" w:name="_Toc14506"/>
                  <w:bookmarkStart w:id="30" w:name="_Toc11219"/>
                  <w:bookmarkStart w:id="31" w:name="_Toc29535"/>
                  <w:bookmarkStart w:id="32" w:name="_Toc13238"/>
                  <w:bookmarkStart w:id="33" w:name="_Toc18815"/>
                  <w:bookmarkStart w:id="34" w:name="_Toc31178"/>
                  <w:r>
                    <w:rPr>
                      <w:rFonts w:ascii="Times New Roman" w:hAnsi="Times New Roman" w:eastAsia="宋体" w:cs="Times New Roman"/>
                      <w:b/>
                      <w:bCs/>
                      <w:szCs w:val="21"/>
                    </w:rPr>
                    <w:t>序号</w:t>
                  </w:r>
                  <w:bookmarkEnd w:id="22"/>
                  <w:bookmarkEnd w:id="23"/>
                  <w:bookmarkEnd w:id="24"/>
                  <w:bookmarkEnd w:id="25"/>
                  <w:bookmarkEnd w:id="26"/>
                  <w:bookmarkEnd w:id="27"/>
                  <w:bookmarkEnd w:id="28"/>
                  <w:bookmarkEnd w:id="29"/>
                  <w:bookmarkEnd w:id="30"/>
                  <w:bookmarkEnd w:id="31"/>
                  <w:bookmarkEnd w:id="32"/>
                  <w:bookmarkEnd w:id="33"/>
                  <w:bookmarkEnd w:id="34"/>
                </w:p>
              </w:tc>
              <w:tc>
                <w:tcPr>
                  <w:tcW w:w="1386" w:type="pct"/>
                  <w:tcBorders>
                    <w:tl2br w:val="nil"/>
                    <w:tr2bl w:val="nil"/>
                  </w:tcBorders>
                  <w:vAlign w:val="center"/>
                </w:tcPr>
                <w:p>
                  <w:pPr>
                    <w:adjustRightInd w:val="0"/>
                    <w:snapToGrid w:val="0"/>
                    <w:jc w:val="center"/>
                    <w:rPr>
                      <w:rFonts w:ascii="Times New Roman" w:hAnsi="Times New Roman" w:eastAsia="宋体" w:cs="Times New Roman"/>
                      <w:b/>
                      <w:bCs/>
                      <w:szCs w:val="21"/>
                      <w:lang w:val="zh-CN"/>
                    </w:rPr>
                  </w:pPr>
                  <w:bookmarkStart w:id="35" w:name="_Toc3645"/>
                  <w:bookmarkStart w:id="36" w:name="_Toc3677"/>
                  <w:bookmarkStart w:id="37" w:name="_Toc7558"/>
                  <w:bookmarkStart w:id="38" w:name="_Toc14160"/>
                  <w:bookmarkStart w:id="39" w:name="_Toc17432"/>
                  <w:bookmarkStart w:id="40" w:name="_Toc29023"/>
                  <w:bookmarkStart w:id="41" w:name="_Toc16038"/>
                  <w:bookmarkStart w:id="42" w:name="_Toc12991"/>
                  <w:bookmarkStart w:id="43" w:name="_Toc5941"/>
                  <w:bookmarkStart w:id="44" w:name="_Toc10239"/>
                  <w:bookmarkStart w:id="45" w:name="_Toc8541"/>
                  <w:bookmarkStart w:id="46" w:name="_Toc21063"/>
                  <w:bookmarkStart w:id="47" w:name="_Toc3126"/>
                  <w:r>
                    <w:rPr>
                      <w:rFonts w:ascii="Times New Roman" w:hAnsi="Times New Roman" w:eastAsia="宋体" w:cs="Times New Roman"/>
                      <w:b/>
                      <w:bCs/>
                      <w:szCs w:val="21"/>
                    </w:rPr>
                    <w:t>相关规定</w:t>
                  </w:r>
                  <w:bookmarkEnd w:id="35"/>
                  <w:bookmarkEnd w:id="36"/>
                  <w:bookmarkEnd w:id="37"/>
                  <w:bookmarkEnd w:id="38"/>
                  <w:bookmarkEnd w:id="39"/>
                  <w:bookmarkEnd w:id="40"/>
                  <w:bookmarkEnd w:id="41"/>
                  <w:bookmarkEnd w:id="42"/>
                  <w:bookmarkEnd w:id="43"/>
                  <w:bookmarkEnd w:id="44"/>
                  <w:bookmarkEnd w:id="45"/>
                  <w:bookmarkEnd w:id="46"/>
                  <w:bookmarkEnd w:id="47"/>
                </w:p>
              </w:tc>
              <w:tc>
                <w:tcPr>
                  <w:tcW w:w="2421" w:type="pct"/>
                  <w:tcBorders>
                    <w:tl2br w:val="nil"/>
                    <w:tr2bl w:val="nil"/>
                  </w:tcBorders>
                  <w:vAlign w:val="center"/>
                </w:tcPr>
                <w:p>
                  <w:pPr>
                    <w:adjustRightInd w:val="0"/>
                    <w:snapToGrid w:val="0"/>
                    <w:jc w:val="center"/>
                    <w:rPr>
                      <w:rFonts w:ascii="Times New Roman" w:hAnsi="Times New Roman" w:eastAsia="宋体" w:cs="Times New Roman"/>
                      <w:b/>
                      <w:bCs/>
                      <w:szCs w:val="21"/>
                      <w:lang w:val="zh-CN"/>
                    </w:rPr>
                  </w:pPr>
                  <w:bookmarkStart w:id="48" w:name="_Toc2403"/>
                  <w:bookmarkStart w:id="49" w:name="_Toc22803"/>
                  <w:bookmarkStart w:id="50" w:name="_Toc19453"/>
                  <w:bookmarkStart w:id="51" w:name="_Toc13232"/>
                  <w:bookmarkStart w:id="52" w:name="_Toc19101"/>
                  <w:bookmarkStart w:id="53" w:name="_Toc12290"/>
                  <w:bookmarkStart w:id="54" w:name="_Toc4780"/>
                  <w:bookmarkStart w:id="55" w:name="_Toc14449"/>
                  <w:bookmarkStart w:id="56" w:name="_Toc23793"/>
                  <w:bookmarkStart w:id="57" w:name="_Toc18656"/>
                  <w:bookmarkStart w:id="58" w:name="_Toc16361"/>
                  <w:bookmarkStart w:id="59" w:name="_Toc20603"/>
                  <w:bookmarkStart w:id="60" w:name="_Toc9036"/>
                  <w:r>
                    <w:rPr>
                      <w:rFonts w:ascii="Times New Roman" w:hAnsi="Times New Roman" w:eastAsia="宋体" w:cs="Times New Roman"/>
                      <w:b/>
                      <w:bCs/>
                      <w:szCs w:val="21"/>
                    </w:rPr>
                    <w:t>本工程情况</w:t>
                  </w:r>
                  <w:bookmarkEnd w:id="48"/>
                  <w:bookmarkEnd w:id="49"/>
                  <w:bookmarkEnd w:id="50"/>
                  <w:bookmarkEnd w:id="51"/>
                  <w:bookmarkEnd w:id="52"/>
                  <w:bookmarkEnd w:id="53"/>
                  <w:bookmarkEnd w:id="54"/>
                  <w:bookmarkEnd w:id="55"/>
                  <w:bookmarkEnd w:id="56"/>
                  <w:bookmarkEnd w:id="57"/>
                  <w:bookmarkEnd w:id="58"/>
                  <w:bookmarkEnd w:id="59"/>
                  <w:bookmarkEnd w:id="60"/>
                </w:p>
              </w:tc>
              <w:tc>
                <w:tcPr>
                  <w:tcW w:w="617" w:type="pct"/>
                  <w:tcBorders>
                    <w:tl2br w:val="nil"/>
                    <w:tr2bl w:val="nil"/>
                  </w:tcBorders>
                  <w:vAlign w:val="center"/>
                </w:tcPr>
                <w:p>
                  <w:pPr>
                    <w:adjustRightInd w:val="0"/>
                    <w:snapToGrid w:val="0"/>
                    <w:jc w:val="center"/>
                    <w:rPr>
                      <w:rFonts w:ascii="Times New Roman" w:hAnsi="Times New Roman" w:eastAsia="宋体" w:cs="Times New Roman"/>
                      <w:b/>
                      <w:bCs/>
                      <w:szCs w:val="21"/>
                      <w:lang w:val="zh-CN"/>
                    </w:rPr>
                  </w:pPr>
                  <w:bookmarkStart w:id="61" w:name="_Toc23734"/>
                  <w:bookmarkStart w:id="62" w:name="_Toc28946"/>
                  <w:bookmarkStart w:id="63" w:name="_Toc21612"/>
                  <w:bookmarkStart w:id="64" w:name="_Toc1917"/>
                  <w:bookmarkStart w:id="65" w:name="_Toc1713"/>
                  <w:bookmarkStart w:id="66" w:name="_Toc30654"/>
                  <w:bookmarkStart w:id="67" w:name="_Toc12149"/>
                  <w:bookmarkStart w:id="68" w:name="_Toc27970"/>
                  <w:bookmarkStart w:id="69" w:name="_Toc23838"/>
                  <w:bookmarkStart w:id="70" w:name="_Toc158"/>
                  <w:bookmarkStart w:id="71" w:name="_Toc28669"/>
                  <w:bookmarkStart w:id="72" w:name="_Toc6151"/>
                  <w:bookmarkStart w:id="73" w:name="_Toc27247"/>
                  <w:r>
                    <w:rPr>
                      <w:rFonts w:ascii="Times New Roman" w:hAnsi="Times New Roman" w:eastAsia="宋体" w:cs="Times New Roman"/>
                      <w:b/>
                      <w:bCs/>
                      <w:szCs w:val="21"/>
                    </w:rPr>
                    <w:t>符合性</w:t>
                  </w:r>
                  <w:bookmarkEnd w:id="61"/>
                  <w:bookmarkEnd w:id="62"/>
                  <w:bookmarkEnd w:id="63"/>
                  <w:bookmarkEnd w:id="64"/>
                  <w:bookmarkEnd w:id="65"/>
                  <w:bookmarkEnd w:id="66"/>
                  <w:bookmarkEnd w:id="67"/>
                  <w:bookmarkEnd w:id="68"/>
                  <w:bookmarkEnd w:id="69"/>
                  <w:bookmarkEnd w:id="70"/>
                  <w:bookmarkEnd w:id="71"/>
                  <w:bookmarkEnd w:id="72"/>
                  <w:bookmarkEnd w:id="7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74" w:type="pct"/>
                  <w:tcBorders>
                    <w:tl2br w:val="nil"/>
                    <w:tr2bl w:val="nil"/>
                  </w:tcBorders>
                  <w:vAlign w:val="center"/>
                </w:tcPr>
                <w:p>
                  <w:pPr>
                    <w:adjustRightInd w:val="0"/>
                    <w:snapToGrid w:val="0"/>
                    <w:jc w:val="center"/>
                    <w:rPr>
                      <w:rFonts w:ascii="Times New Roman" w:hAnsi="Times New Roman" w:eastAsia="宋体" w:cs="Times New Roman"/>
                      <w:szCs w:val="21"/>
                    </w:rPr>
                  </w:pPr>
                  <w:bookmarkStart w:id="74" w:name="_Toc6912"/>
                  <w:bookmarkStart w:id="75" w:name="_Toc3409"/>
                  <w:bookmarkStart w:id="76" w:name="_Toc19632"/>
                  <w:bookmarkStart w:id="77" w:name="_Toc23196"/>
                  <w:bookmarkStart w:id="78" w:name="_Toc6284"/>
                  <w:bookmarkStart w:id="79" w:name="_Toc29080"/>
                  <w:bookmarkStart w:id="80" w:name="_Toc16908"/>
                  <w:bookmarkStart w:id="81" w:name="_Toc5411"/>
                  <w:bookmarkStart w:id="82" w:name="_Toc12612"/>
                  <w:bookmarkStart w:id="83" w:name="_Toc23817"/>
                  <w:bookmarkStart w:id="84" w:name="_Toc2650"/>
                  <w:bookmarkStart w:id="85" w:name="_Toc27311"/>
                  <w:bookmarkStart w:id="86" w:name="_Toc1852"/>
                  <w:r>
                    <w:rPr>
                      <w:rFonts w:ascii="Times New Roman" w:hAnsi="Times New Roman" w:eastAsia="宋体" w:cs="Times New Roman"/>
                      <w:szCs w:val="21"/>
                    </w:rPr>
                    <w:t>3</w:t>
                  </w:r>
                  <w:bookmarkEnd w:id="74"/>
                  <w:bookmarkEnd w:id="75"/>
                  <w:bookmarkEnd w:id="76"/>
                  <w:bookmarkEnd w:id="77"/>
                  <w:bookmarkEnd w:id="78"/>
                  <w:bookmarkEnd w:id="79"/>
                  <w:bookmarkEnd w:id="80"/>
                  <w:bookmarkEnd w:id="81"/>
                  <w:bookmarkEnd w:id="82"/>
                  <w:bookmarkEnd w:id="83"/>
                  <w:bookmarkEnd w:id="84"/>
                  <w:bookmarkEnd w:id="85"/>
                  <w:bookmarkEnd w:id="86"/>
                </w:p>
              </w:tc>
              <w:tc>
                <w:tcPr>
                  <w:tcW w:w="1386" w:type="pct"/>
                  <w:tcBorders>
                    <w:tl2br w:val="nil"/>
                    <w:tr2bl w:val="nil"/>
                  </w:tcBorders>
                  <w:vAlign w:val="center"/>
                </w:tcPr>
                <w:p>
                  <w:pPr>
                    <w:adjustRightInd w:val="0"/>
                    <w:snapToGrid w:val="0"/>
                    <w:rPr>
                      <w:rFonts w:ascii="Times New Roman" w:hAnsi="Times New Roman" w:eastAsia="宋体" w:cs="Times New Roman"/>
                      <w:szCs w:val="21"/>
                      <w:lang w:val="zh-CN"/>
                    </w:rPr>
                  </w:pPr>
                  <w:bookmarkStart w:id="87" w:name="_Toc20012"/>
                  <w:bookmarkStart w:id="88" w:name="_Toc10429"/>
                  <w:bookmarkStart w:id="89" w:name="_Toc29827"/>
                  <w:bookmarkStart w:id="90" w:name="_Toc3969"/>
                  <w:bookmarkStart w:id="91" w:name="_Toc4634"/>
                  <w:bookmarkStart w:id="92" w:name="_Toc16521"/>
                  <w:bookmarkStart w:id="93" w:name="_Toc19768"/>
                  <w:bookmarkStart w:id="94" w:name="_Toc27132"/>
                  <w:bookmarkStart w:id="95" w:name="_Toc16136"/>
                  <w:bookmarkStart w:id="96" w:name="_Toc10320"/>
                  <w:bookmarkStart w:id="97" w:name="_Toc8693"/>
                  <w:bookmarkStart w:id="98" w:name="_Toc11885"/>
                  <w:bookmarkStart w:id="99" w:name="_Toc6740"/>
                  <w:r>
                    <w:rPr>
                      <w:rFonts w:ascii="Times New Roman" w:hAnsi="Times New Roman" w:eastAsia="宋体" w:cs="Times New Roman"/>
                      <w:szCs w:val="21"/>
                    </w:rPr>
                    <w:t>实施农用地分类管理，保障农业生产环境安全</w:t>
                  </w:r>
                  <w:bookmarkEnd w:id="87"/>
                  <w:bookmarkEnd w:id="88"/>
                  <w:bookmarkEnd w:id="89"/>
                  <w:bookmarkEnd w:id="90"/>
                  <w:bookmarkEnd w:id="91"/>
                  <w:bookmarkEnd w:id="92"/>
                  <w:bookmarkEnd w:id="93"/>
                  <w:bookmarkEnd w:id="94"/>
                  <w:bookmarkEnd w:id="95"/>
                  <w:bookmarkEnd w:id="96"/>
                  <w:bookmarkEnd w:id="97"/>
                  <w:bookmarkEnd w:id="98"/>
                  <w:bookmarkEnd w:id="99"/>
                </w:p>
              </w:tc>
              <w:tc>
                <w:tcPr>
                  <w:tcW w:w="2421" w:type="pct"/>
                  <w:tcBorders>
                    <w:tl2br w:val="nil"/>
                    <w:tr2bl w:val="nil"/>
                  </w:tcBorders>
                  <w:vAlign w:val="center"/>
                </w:tcPr>
                <w:p>
                  <w:pPr>
                    <w:adjustRightInd w:val="0"/>
                    <w:snapToGrid w:val="0"/>
                    <w:rPr>
                      <w:rFonts w:ascii="Times New Roman" w:hAnsi="Times New Roman" w:eastAsia="宋体" w:cs="Times New Roman"/>
                      <w:szCs w:val="21"/>
                    </w:rPr>
                  </w:pPr>
                  <w:r>
                    <w:rPr>
                      <w:rFonts w:ascii="Times New Roman" w:hAnsi="Times New Roman" w:eastAsia="宋体" w:cs="Times New Roman"/>
                      <w:szCs w:val="21"/>
                    </w:rPr>
                    <w:t>本项目位于</w:t>
                  </w:r>
                  <w:r>
                    <w:rPr>
                      <w:rFonts w:hint="eastAsia" w:ascii="Times New Roman" w:hAnsi="Times New Roman" w:eastAsia="宋体" w:cs="Times New Roman"/>
                      <w:szCs w:val="21"/>
                      <w:lang w:val="zh-CN"/>
                    </w:rPr>
                    <w:t>云县爱华镇河湾村委会马家庄组</w:t>
                  </w:r>
                  <w:r>
                    <w:rPr>
                      <w:rFonts w:ascii="Times New Roman" w:hAnsi="Times New Roman" w:eastAsia="宋体" w:cs="Times New Roman"/>
                      <w:szCs w:val="21"/>
                    </w:rPr>
                    <w:t>，不占用基本农田和耕地。</w:t>
                  </w:r>
                </w:p>
              </w:tc>
              <w:tc>
                <w:tcPr>
                  <w:tcW w:w="617" w:type="pct"/>
                  <w:tcBorders>
                    <w:tl2br w:val="nil"/>
                    <w:tr2bl w:val="nil"/>
                  </w:tcBorders>
                  <w:vAlign w:val="center"/>
                </w:tcPr>
                <w:p>
                  <w:pPr>
                    <w:adjustRightInd w:val="0"/>
                    <w:snapToGrid w:val="0"/>
                    <w:jc w:val="center"/>
                    <w:rPr>
                      <w:rFonts w:ascii="Times New Roman" w:hAnsi="Times New Roman" w:eastAsia="宋体" w:cs="Times New Roman"/>
                      <w:szCs w:val="21"/>
                      <w:lang w:val="zh-CN"/>
                    </w:rPr>
                  </w:pPr>
                  <w:bookmarkStart w:id="100" w:name="_Toc155"/>
                  <w:bookmarkStart w:id="101" w:name="_Toc29762"/>
                  <w:bookmarkStart w:id="102" w:name="_Toc15038"/>
                  <w:bookmarkStart w:id="103" w:name="_Toc4313"/>
                  <w:bookmarkStart w:id="104" w:name="_Toc5764"/>
                  <w:bookmarkStart w:id="105" w:name="_Toc26644"/>
                  <w:bookmarkStart w:id="106" w:name="_Toc30030"/>
                  <w:bookmarkStart w:id="107" w:name="_Toc24181"/>
                  <w:bookmarkStart w:id="108" w:name="_Toc2389"/>
                  <w:bookmarkStart w:id="109" w:name="_Toc16254"/>
                  <w:bookmarkStart w:id="110" w:name="_Toc9995"/>
                  <w:bookmarkStart w:id="111" w:name="_Toc15493"/>
                  <w:bookmarkStart w:id="112" w:name="_Toc19800"/>
                  <w:r>
                    <w:rPr>
                      <w:rFonts w:ascii="Times New Roman" w:hAnsi="Times New Roman" w:eastAsia="宋体" w:cs="Times New Roman"/>
                      <w:szCs w:val="21"/>
                      <w:lang w:val="zh-CN"/>
                    </w:rPr>
                    <w:t>符合</w:t>
                  </w:r>
                  <w:bookmarkEnd w:id="100"/>
                  <w:bookmarkEnd w:id="101"/>
                  <w:bookmarkEnd w:id="102"/>
                  <w:bookmarkEnd w:id="103"/>
                  <w:bookmarkEnd w:id="104"/>
                  <w:bookmarkEnd w:id="105"/>
                  <w:bookmarkEnd w:id="106"/>
                  <w:bookmarkEnd w:id="107"/>
                  <w:bookmarkEnd w:id="108"/>
                  <w:bookmarkEnd w:id="109"/>
                  <w:bookmarkEnd w:id="110"/>
                  <w:bookmarkEnd w:id="111"/>
                  <w:bookmarkEnd w:id="1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74" w:type="pct"/>
                  <w:tcBorders>
                    <w:tl2br w:val="nil"/>
                    <w:tr2bl w:val="nil"/>
                  </w:tcBorders>
                  <w:vAlign w:val="center"/>
                </w:tcPr>
                <w:p>
                  <w:pPr>
                    <w:adjustRightInd w:val="0"/>
                    <w:snapToGrid w:val="0"/>
                    <w:jc w:val="center"/>
                    <w:rPr>
                      <w:rFonts w:ascii="Times New Roman" w:hAnsi="Times New Roman" w:eastAsia="宋体" w:cs="Times New Roman"/>
                      <w:szCs w:val="21"/>
                    </w:rPr>
                  </w:pPr>
                  <w:bookmarkStart w:id="113" w:name="_Toc18114"/>
                  <w:bookmarkStart w:id="114" w:name="_Toc9574"/>
                  <w:bookmarkStart w:id="115" w:name="_Toc10971"/>
                  <w:bookmarkStart w:id="116" w:name="_Toc30936"/>
                  <w:bookmarkStart w:id="117" w:name="_Toc26774"/>
                  <w:bookmarkStart w:id="118" w:name="_Toc18408"/>
                  <w:bookmarkStart w:id="119" w:name="_Toc22920"/>
                  <w:bookmarkStart w:id="120" w:name="_Toc26750"/>
                  <w:bookmarkStart w:id="121" w:name="_Toc19"/>
                  <w:bookmarkStart w:id="122" w:name="_Toc30800"/>
                  <w:bookmarkStart w:id="123" w:name="_Toc25456"/>
                  <w:bookmarkStart w:id="124" w:name="_Toc16162"/>
                  <w:bookmarkStart w:id="125" w:name="_Toc18293"/>
                  <w:r>
                    <w:rPr>
                      <w:rFonts w:ascii="Times New Roman" w:hAnsi="Times New Roman" w:eastAsia="宋体" w:cs="Times New Roman"/>
                      <w:szCs w:val="21"/>
                    </w:rPr>
                    <w:t>4</w:t>
                  </w:r>
                  <w:bookmarkEnd w:id="113"/>
                  <w:bookmarkEnd w:id="114"/>
                  <w:bookmarkEnd w:id="115"/>
                  <w:bookmarkEnd w:id="116"/>
                  <w:bookmarkEnd w:id="117"/>
                  <w:bookmarkEnd w:id="118"/>
                  <w:bookmarkEnd w:id="119"/>
                  <w:bookmarkEnd w:id="120"/>
                  <w:bookmarkEnd w:id="121"/>
                  <w:bookmarkEnd w:id="122"/>
                  <w:bookmarkEnd w:id="123"/>
                  <w:bookmarkEnd w:id="124"/>
                  <w:bookmarkEnd w:id="125"/>
                </w:p>
              </w:tc>
              <w:tc>
                <w:tcPr>
                  <w:tcW w:w="1386" w:type="pct"/>
                  <w:tcBorders>
                    <w:tl2br w:val="nil"/>
                    <w:tr2bl w:val="nil"/>
                  </w:tcBorders>
                  <w:vAlign w:val="center"/>
                </w:tcPr>
                <w:p>
                  <w:pPr>
                    <w:adjustRightInd w:val="0"/>
                    <w:snapToGrid w:val="0"/>
                    <w:rPr>
                      <w:rFonts w:ascii="Times New Roman" w:hAnsi="Times New Roman" w:eastAsia="宋体" w:cs="Times New Roman"/>
                      <w:szCs w:val="21"/>
                      <w:lang w:val="zh-CN"/>
                    </w:rPr>
                  </w:pPr>
                  <w:bookmarkStart w:id="126" w:name="_Toc9838"/>
                  <w:bookmarkStart w:id="127" w:name="_Toc20166"/>
                  <w:bookmarkStart w:id="128" w:name="_Toc14937"/>
                  <w:bookmarkStart w:id="129" w:name="_Toc12424"/>
                  <w:bookmarkStart w:id="130" w:name="_Toc22636"/>
                  <w:bookmarkStart w:id="131" w:name="_Toc763"/>
                  <w:bookmarkStart w:id="132" w:name="_Toc7391"/>
                  <w:bookmarkStart w:id="133" w:name="_Toc7458"/>
                  <w:bookmarkStart w:id="134" w:name="_Toc20678"/>
                  <w:bookmarkStart w:id="135" w:name="_Toc28961"/>
                  <w:bookmarkStart w:id="136" w:name="_Toc16150"/>
                  <w:bookmarkStart w:id="137" w:name="_Toc20179"/>
                  <w:r>
                    <w:rPr>
                      <w:rFonts w:ascii="Times New Roman" w:hAnsi="Times New Roman" w:eastAsia="宋体" w:cs="Times New Roman"/>
                      <w:szCs w:val="21"/>
                    </w:rPr>
                    <w:t>实施建设用地准入管理，防范人居环境风险</w:t>
                  </w:r>
                  <w:bookmarkEnd w:id="126"/>
                  <w:bookmarkEnd w:id="127"/>
                  <w:bookmarkEnd w:id="128"/>
                  <w:bookmarkEnd w:id="129"/>
                  <w:bookmarkEnd w:id="130"/>
                  <w:bookmarkEnd w:id="131"/>
                  <w:bookmarkEnd w:id="132"/>
                  <w:bookmarkEnd w:id="133"/>
                  <w:bookmarkEnd w:id="134"/>
                  <w:bookmarkEnd w:id="135"/>
                  <w:bookmarkEnd w:id="136"/>
                  <w:bookmarkEnd w:id="137"/>
                </w:p>
              </w:tc>
              <w:tc>
                <w:tcPr>
                  <w:tcW w:w="2421" w:type="pct"/>
                  <w:tcBorders>
                    <w:tl2br w:val="nil"/>
                    <w:tr2bl w:val="nil"/>
                  </w:tcBorders>
                  <w:vAlign w:val="center"/>
                </w:tcPr>
                <w:p>
                  <w:pPr>
                    <w:adjustRightInd w:val="0"/>
                    <w:snapToGrid w:val="0"/>
                    <w:rPr>
                      <w:rFonts w:ascii="Times New Roman" w:hAnsi="Times New Roman" w:eastAsia="宋体" w:cs="Times New Roman"/>
                      <w:szCs w:val="21"/>
                      <w:lang w:val="zh-CN"/>
                    </w:rPr>
                  </w:pPr>
                  <w:r>
                    <w:rPr>
                      <w:rFonts w:ascii="Times New Roman" w:hAnsi="Times New Roman" w:eastAsia="宋体" w:cs="Times New Roman"/>
                      <w:szCs w:val="21"/>
                    </w:rPr>
                    <w:t>本项目位于</w:t>
                  </w:r>
                  <w:r>
                    <w:rPr>
                      <w:rFonts w:hint="eastAsia" w:ascii="Times New Roman" w:hAnsi="Times New Roman" w:eastAsia="宋体" w:cs="Times New Roman"/>
                      <w:szCs w:val="21"/>
                      <w:lang w:val="zh-CN"/>
                    </w:rPr>
                    <w:t>云县爱华镇河湾村委会马家庄组</w:t>
                  </w:r>
                  <w:r>
                    <w:rPr>
                      <w:rFonts w:ascii="Times New Roman" w:hAnsi="Times New Roman" w:eastAsia="宋体" w:cs="Times New Roman"/>
                      <w:szCs w:val="21"/>
                    </w:rPr>
                    <w:t>，选址属于工业用地</w:t>
                  </w:r>
                  <w:r>
                    <w:rPr>
                      <w:rFonts w:hint="eastAsia" w:ascii="Times New Roman" w:hAnsi="Times New Roman" w:eastAsia="宋体" w:cs="Times New Roman"/>
                      <w:szCs w:val="21"/>
                    </w:rPr>
                    <w:t>、滩涂、其他林地、其他草地</w:t>
                  </w:r>
                  <w:r>
                    <w:rPr>
                      <w:rFonts w:ascii="Times New Roman" w:hAnsi="Times New Roman" w:eastAsia="宋体" w:cs="Times New Roman"/>
                      <w:szCs w:val="21"/>
                    </w:rPr>
                    <w:t>，满足用地准入要求。</w:t>
                  </w:r>
                </w:p>
              </w:tc>
              <w:tc>
                <w:tcPr>
                  <w:tcW w:w="617" w:type="pct"/>
                  <w:tcBorders>
                    <w:tl2br w:val="nil"/>
                    <w:tr2bl w:val="nil"/>
                  </w:tcBorders>
                  <w:vAlign w:val="center"/>
                </w:tcPr>
                <w:p>
                  <w:pPr>
                    <w:adjustRightInd w:val="0"/>
                    <w:snapToGrid w:val="0"/>
                    <w:jc w:val="center"/>
                    <w:rPr>
                      <w:rFonts w:ascii="Times New Roman" w:hAnsi="Times New Roman" w:eastAsia="宋体" w:cs="Times New Roman"/>
                      <w:szCs w:val="21"/>
                      <w:lang w:val="zh-CN"/>
                    </w:rPr>
                  </w:pPr>
                  <w:bookmarkStart w:id="138" w:name="_Toc18611"/>
                  <w:bookmarkStart w:id="139" w:name="_Toc22516"/>
                  <w:bookmarkStart w:id="140" w:name="_Toc2048"/>
                  <w:bookmarkStart w:id="141" w:name="_Toc31127"/>
                  <w:bookmarkStart w:id="142" w:name="_Toc5208"/>
                  <w:bookmarkStart w:id="143" w:name="_Toc7416"/>
                  <w:bookmarkStart w:id="144" w:name="_Toc19135"/>
                  <w:bookmarkStart w:id="145" w:name="_Toc25898"/>
                  <w:bookmarkStart w:id="146" w:name="_Toc24410"/>
                  <w:bookmarkStart w:id="147" w:name="_Toc16553"/>
                  <w:bookmarkStart w:id="148" w:name="_Toc13631"/>
                  <w:bookmarkStart w:id="149" w:name="_Toc28092"/>
                  <w:bookmarkStart w:id="150" w:name="_Toc5371"/>
                  <w:r>
                    <w:rPr>
                      <w:rFonts w:ascii="Times New Roman" w:hAnsi="Times New Roman" w:eastAsia="宋体" w:cs="Times New Roman"/>
                      <w:szCs w:val="21"/>
                      <w:lang w:val="zh-CN"/>
                    </w:rPr>
                    <w:t>符合</w:t>
                  </w:r>
                  <w:bookmarkEnd w:id="138"/>
                  <w:bookmarkEnd w:id="139"/>
                  <w:bookmarkEnd w:id="140"/>
                  <w:bookmarkEnd w:id="141"/>
                  <w:bookmarkEnd w:id="142"/>
                  <w:bookmarkEnd w:id="143"/>
                  <w:bookmarkEnd w:id="144"/>
                  <w:bookmarkEnd w:id="145"/>
                  <w:bookmarkEnd w:id="146"/>
                  <w:bookmarkEnd w:id="147"/>
                  <w:bookmarkEnd w:id="148"/>
                  <w:bookmarkEnd w:id="149"/>
                  <w:bookmarkEnd w:id="15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74" w:type="pct"/>
                  <w:tcBorders>
                    <w:tl2br w:val="nil"/>
                    <w:tr2bl w:val="nil"/>
                  </w:tcBorders>
                  <w:vAlign w:val="center"/>
                </w:tcPr>
                <w:p>
                  <w:pPr>
                    <w:adjustRightInd w:val="0"/>
                    <w:snapToGrid w:val="0"/>
                    <w:jc w:val="center"/>
                    <w:rPr>
                      <w:rFonts w:ascii="Times New Roman" w:hAnsi="Times New Roman" w:eastAsia="宋体" w:cs="Times New Roman"/>
                      <w:szCs w:val="21"/>
                    </w:rPr>
                  </w:pPr>
                  <w:bookmarkStart w:id="151" w:name="_Toc1999"/>
                  <w:bookmarkStart w:id="152" w:name="_Toc13411"/>
                  <w:bookmarkStart w:id="153" w:name="_Toc8043"/>
                  <w:bookmarkStart w:id="154" w:name="_Toc3449"/>
                  <w:bookmarkStart w:id="155" w:name="_Toc18690"/>
                  <w:bookmarkStart w:id="156" w:name="_Toc28520"/>
                  <w:bookmarkStart w:id="157" w:name="_Toc16087"/>
                  <w:bookmarkStart w:id="158" w:name="_Toc14928"/>
                  <w:bookmarkStart w:id="159" w:name="_Toc26101"/>
                  <w:bookmarkStart w:id="160" w:name="_Toc27561"/>
                  <w:bookmarkStart w:id="161" w:name="_Toc24669"/>
                  <w:bookmarkStart w:id="162" w:name="_Toc32709"/>
                  <w:bookmarkStart w:id="163" w:name="_Toc5433"/>
                  <w:r>
                    <w:rPr>
                      <w:rFonts w:ascii="Times New Roman" w:hAnsi="Times New Roman" w:eastAsia="宋体" w:cs="Times New Roman"/>
                      <w:szCs w:val="21"/>
                    </w:rPr>
                    <w:t>5</w:t>
                  </w:r>
                  <w:bookmarkEnd w:id="151"/>
                  <w:bookmarkEnd w:id="152"/>
                  <w:bookmarkEnd w:id="153"/>
                  <w:bookmarkEnd w:id="154"/>
                  <w:bookmarkEnd w:id="155"/>
                  <w:bookmarkEnd w:id="156"/>
                  <w:bookmarkEnd w:id="157"/>
                  <w:bookmarkEnd w:id="158"/>
                  <w:bookmarkEnd w:id="159"/>
                  <w:bookmarkEnd w:id="160"/>
                  <w:bookmarkEnd w:id="161"/>
                  <w:bookmarkEnd w:id="162"/>
                  <w:bookmarkEnd w:id="163"/>
                </w:p>
              </w:tc>
              <w:tc>
                <w:tcPr>
                  <w:tcW w:w="1386" w:type="pct"/>
                  <w:tcBorders>
                    <w:tl2br w:val="nil"/>
                    <w:tr2bl w:val="nil"/>
                  </w:tcBorders>
                  <w:vAlign w:val="center"/>
                </w:tcPr>
                <w:p>
                  <w:pPr>
                    <w:adjustRightInd w:val="0"/>
                    <w:snapToGrid w:val="0"/>
                    <w:rPr>
                      <w:rFonts w:ascii="Times New Roman" w:hAnsi="Times New Roman" w:eastAsia="宋体" w:cs="Times New Roman"/>
                      <w:szCs w:val="21"/>
                      <w:lang w:val="zh-CN"/>
                    </w:rPr>
                  </w:pPr>
                  <w:bookmarkStart w:id="164" w:name="_Toc11475"/>
                  <w:bookmarkStart w:id="165" w:name="_Toc8637"/>
                  <w:bookmarkStart w:id="166" w:name="_Toc11789"/>
                  <w:bookmarkStart w:id="167" w:name="_Toc27029"/>
                  <w:bookmarkStart w:id="168" w:name="_Toc23137"/>
                  <w:bookmarkStart w:id="169" w:name="_Toc20254"/>
                  <w:bookmarkStart w:id="170" w:name="_Toc24751"/>
                  <w:bookmarkStart w:id="171" w:name="_Toc21110"/>
                  <w:bookmarkStart w:id="172" w:name="_Toc14420"/>
                  <w:bookmarkStart w:id="173" w:name="_Toc14728"/>
                  <w:bookmarkStart w:id="174" w:name="_Toc18708"/>
                  <w:bookmarkStart w:id="175" w:name="_Toc16596"/>
                  <w:bookmarkStart w:id="176" w:name="_Toc14914"/>
                  <w:r>
                    <w:rPr>
                      <w:rFonts w:ascii="Times New Roman" w:hAnsi="Times New Roman" w:eastAsia="宋体" w:cs="Times New Roman"/>
                      <w:szCs w:val="21"/>
                    </w:rPr>
                    <w:t>强化未污染土壤保护，严控新增土壤污染</w:t>
                  </w:r>
                  <w:bookmarkEnd w:id="164"/>
                  <w:bookmarkEnd w:id="165"/>
                  <w:bookmarkEnd w:id="166"/>
                  <w:bookmarkEnd w:id="167"/>
                  <w:bookmarkEnd w:id="168"/>
                  <w:bookmarkEnd w:id="169"/>
                  <w:bookmarkEnd w:id="170"/>
                  <w:bookmarkEnd w:id="171"/>
                  <w:bookmarkEnd w:id="172"/>
                  <w:bookmarkEnd w:id="173"/>
                  <w:bookmarkEnd w:id="174"/>
                  <w:bookmarkEnd w:id="175"/>
                  <w:bookmarkEnd w:id="176"/>
                </w:p>
              </w:tc>
              <w:tc>
                <w:tcPr>
                  <w:tcW w:w="2421" w:type="pct"/>
                  <w:tcBorders>
                    <w:tl2br w:val="nil"/>
                    <w:tr2bl w:val="nil"/>
                  </w:tcBorders>
                  <w:vAlign w:val="center"/>
                </w:tcPr>
                <w:p>
                  <w:pPr>
                    <w:adjustRightInd w:val="0"/>
                    <w:snapToGrid w:val="0"/>
                    <w:rPr>
                      <w:rFonts w:ascii="Times New Roman" w:hAnsi="Times New Roman" w:eastAsia="宋体" w:cs="Times New Roman"/>
                      <w:szCs w:val="21"/>
                      <w:lang w:val="zh-CN"/>
                    </w:rPr>
                  </w:pPr>
                  <w:r>
                    <w:rPr>
                      <w:rFonts w:ascii="Times New Roman" w:hAnsi="Times New Roman" w:eastAsia="宋体" w:cs="Times New Roman"/>
                      <w:szCs w:val="21"/>
                    </w:rPr>
                    <w:t>本项目为</w:t>
                  </w:r>
                  <w:r>
                    <w:rPr>
                      <w:rFonts w:hint="eastAsia" w:ascii="Times New Roman" w:hAnsi="Times New Roman" w:eastAsia="宋体" w:cs="Times New Roman"/>
                      <w:szCs w:val="21"/>
                    </w:rPr>
                    <w:t>沙、石加工项目</w:t>
                  </w:r>
                  <w:r>
                    <w:rPr>
                      <w:rFonts w:ascii="Times New Roman" w:hAnsi="Times New Roman" w:eastAsia="宋体" w:cs="Times New Roman"/>
                      <w:szCs w:val="21"/>
                    </w:rPr>
                    <w:t>，严格落实厂区防渗，项目产生的废水</w:t>
                  </w:r>
                  <w:r>
                    <w:rPr>
                      <w:rFonts w:hint="eastAsia" w:ascii="Times New Roman" w:hAnsi="Times New Roman" w:eastAsia="宋体" w:cs="Times New Roman"/>
                      <w:szCs w:val="21"/>
                    </w:rPr>
                    <w:t>主要污染为SS</w:t>
                  </w:r>
                  <w:r>
                    <w:rPr>
                      <w:rFonts w:ascii="Times New Roman" w:hAnsi="Times New Roman" w:eastAsia="宋体" w:cs="Times New Roman"/>
                      <w:szCs w:val="21"/>
                    </w:rPr>
                    <w:t>，采取防渗措施后对土壤影响较小。</w:t>
                  </w:r>
                </w:p>
              </w:tc>
              <w:tc>
                <w:tcPr>
                  <w:tcW w:w="617" w:type="pct"/>
                  <w:tcBorders>
                    <w:tl2br w:val="nil"/>
                    <w:tr2bl w:val="nil"/>
                  </w:tcBorders>
                  <w:vAlign w:val="center"/>
                </w:tcPr>
                <w:p>
                  <w:pPr>
                    <w:adjustRightInd w:val="0"/>
                    <w:snapToGrid w:val="0"/>
                    <w:jc w:val="center"/>
                    <w:rPr>
                      <w:rFonts w:ascii="Times New Roman" w:hAnsi="Times New Roman" w:eastAsia="宋体" w:cs="Times New Roman"/>
                      <w:szCs w:val="21"/>
                      <w:lang w:val="zh-CN"/>
                    </w:rPr>
                  </w:pPr>
                  <w:bookmarkStart w:id="177" w:name="_Toc12842"/>
                  <w:bookmarkStart w:id="178" w:name="_Toc28077"/>
                  <w:bookmarkStart w:id="179" w:name="_Toc6206"/>
                  <w:bookmarkStart w:id="180" w:name="_Toc14669"/>
                  <w:bookmarkStart w:id="181" w:name="_Toc18115"/>
                  <w:bookmarkStart w:id="182" w:name="_Toc30496"/>
                  <w:bookmarkStart w:id="183" w:name="_Toc5331"/>
                  <w:bookmarkStart w:id="184" w:name="_Toc17989"/>
                  <w:bookmarkStart w:id="185" w:name="_Toc29149"/>
                  <w:bookmarkStart w:id="186" w:name="_Toc29813"/>
                  <w:bookmarkStart w:id="187" w:name="_Toc861"/>
                  <w:bookmarkStart w:id="188" w:name="_Toc1299"/>
                  <w:bookmarkStart w:id="189" w:name="_Toc23273"/>
                  <w:r>
                    <w:rPr>
                      <w:rFonts w:ascii="Times New Roman" w:hAnsi="Times New Roman" w:eastAsia="宋体" w:cs="Times New Roman"/>
                      <w:szCs w:val="21"/>
                      <w:lang w:val="zh-CN"/>
                    </w:rPr>
                    <w:t>符合</w:t>
                  </w:r>
                  <w:bookmarkEnd w:id="177"/>
                  <w:bookmarkEnd w:id="178"/>
                  <w:bookmarkEnd w:id="179"/>
                  <w:bookmarkEnd w:id="180"/>
                  <w:bookmarkEnd w:id="181"/>
                  <w:bookmarkEnd w:id="182"/>
                  <w:bookmarkEnd w:id="183"/>
                  <w:bookmarkEnd w:id="184"/>
                  <w:bookmarkEnd w:id="185"/>
                  <w:bookmarkEnd w:id="186"/>
                  <w:bookmarkEnd w:id="187"/>
                  <w:bookmarkEnd w:id="188"/>
                  <w:bookmarkEnd w:id="18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74" w:type="pct"/>
                  <w:tcBorders>
                    <w:tl2br w:val="nil"/>
                    <w:tr2bl w:val="nil"/>
                  </w:tcBorders>
                  <w:vAlign w:val="center"/>
                </w:tcPr>
                <w:p>
                  <w:pPr>
                    <w:adjustRightInd w:val="0"/>
                    <w:snapToGrid w:val="0"/>
                    <w:jc w:val="center"/>
                    <w:rPr>
                      <w:rFonts w:ascii="Times New Roman" w:hAnsi="Times New Roman" w:eastAsia="宋体" w:cs="Times New Roman"/>
                      <w:szCs w:val="21"/>
                    </w:rPr>
                  </w:pPr>
                  <w:bookmarkStart w:id="190" w:name="_Toc27640"/>
                  <w:bookmarkStart w:id="191" w:name="_Toc28522"/>
                  <w:bookmarkStart w:id="192" w:name="_Toc24626"/>
                  <w:bookmarkStart w:id="193" w:name="_Toc13694"/>
                  <w:bookmarkStart w:id="194" w:name="_Toc13568"/>
                  <w:bookmarkStart w:id="195" w:name="_Toc23917"/>
                  <w:bookmarkStart w:id="196" w:name="_Toc19868"/>
                  <w:bookmarkStart w:id="197" w:name="_Toc11809"/>
                  <w:bookmarkStart w:id="198" w:name="_Toc31610"/>
                  <w:bookmarkStart w:id="199" w:name="_Toc22937"/>
                  <w:bookmarkStart w:id="200" w:name="_Toc21602"/>
                  <w:bookmarkStart w:id="201" w:name="_Toc3828"/>
                  <w:bookmarkStart w:id="202" w:name="_Toc10899"/>
                  <w:r>
                    <w:rPr>
                      <w:rFonts w:ascii="Times New Roman" w:hAnsi="Times New Roman" w:eastAsia="宋体" w:cs="Times New Roman"/>
                      <w:szCs w:val="21"/>
                    </w:rPr>
                    <w:t>6</w:t>
                  </w:r>
                  <w:bookmarkEnd w:id="190"/>
                  <w:bookmarkEnd w:id="191"/>
                  <w:bookmarkEnd w:id="192"/>
                  <w:bookmarkEnd w:id="193"/>
                  <w:bookmarkEnd w:id="194"/>
                  <w:bookmarkEnd w:id="195"/>
                  <w:bookmarkEnd w:id="196"/>
                  <w:bookmarkEnd w:id="197"/>
                  <w:bookmarkEnd w:id="198"/>
                  <w:bookmarkEnd w:id="199"/>
                  <w:bookmarkEnd w:id="200"/>
                  <w:bookmarkEnd w:id="201"/>
                  <w:bookmarkEnd w:id="202"/>
                </w:p>
              </w:tc>
              <w:tc>
                <w:tcPr>
                  <w:tcW w:w="1386" w:type="pct"/>
                  <w:tcBorders>
                    <w:tl2br w:val="nil"/>
                    <w:tr2bl w:val="nil"/>
                  </w:tcBorders>
                  <w:vAlign w:val="center"/>
                </w:tcPr>
                <w:p>
                  <w:pPr>
                    <w:adjustRightInd w:val="0"/>
                    <w:snapToGrid w:val="0"/>
                    <w:rPr>
                      <w:rFonts w:ascii="Times New Roman" w:hAnsi="Times New Roman" w:eastAsia="宋体" w:cs="Times New Roman"/>
                      <w:szCs w:val="21"/>
                      <w:lang w:val="zh-CN"/>
                    </w:rPr>
                  </w:pPr>
                  <w:bookmarkStart w:id="203" w:name="_Toc29684"/>
                  <w:bookmarkStart w:id="204" w:name="_Toc3706"/>
                  <w:bookmarkStart w:id="205" w:name="_Toc21684"/>
                  <w:bookmarkStart w:id="206" w:name="_Toc588"/>
                  <w:bookmarkStart w:id="207" w:name="_Toc5849"/>
                  <w:bookmarkStart w:id="208" w:name="_Toc22241"/>
                  <w:bookmarkStart w:id="209" w:name="_Toc14502"/>
                  <w:bookmarkStart w:id="210" w:name="_Toc20457"/>
                  <w:bookmarkStart w:id="211" w:name="_Toc27624"/>
                  <w:bookmarkStart w:id="212" w:name="_Toc20806"/>
                  <w:bookmarkStart w:id="213" w:name="_Toc16042"/>
                  <w:bookmarkStart w:id="214" w:name="_Toc29186"/>
                  <w:bookmarkStart w:id="215" w:name="_Toc18272"/>
                  <w:r>
                    <w:rPr>
                      <w:rFonts w:ascii="Times New Roman" w:hAnsi="Times New Roman" w:eastAsia="宋体" w:cs="Times New Roman"/>
                      <w:szCs w:val="21"/>
                    </w:rPr>
                    <w:t>加强污染源监管，做好土壤污染预防工作。严控工矿污染，控制农业污染，减少生活污染</w:t>
                  </w:r>
                  <w:bookmarkEnd w:id="203"/>
                  <w:bookmarkEnd w:id="204"/>
                  <w:bookmarkEnd w:id="205"/>
                  <w:bookmarkEnd w:id="206"/>
                  <w:bookmarkEnd w:id="207"/>
                  <w:bookmarkEnd w:id="208"/>
                  <w:bookmarkEnd w:id="209"/>
                  <w:bookmarkEnd w:id="210"/>
                  <w:bookmarkEnd w:id="211"/>
                  <w:bookmarkEnd w:id="212"/>
                  <w:bookmarkEnd w:id="213"/>
                  <w:bookmarkEnd w:id="214"/>
                  <w:bookmarkEnd w:id="215"/>
                </w:p>
              </w:tc>
              <w:tc>
                <w:tcPr>
                  <w:tcW w:w="2421" w:type="pct"/>
                  <w:tcBorders>
                    <w:tl2br w:val="nil"/>
                    <w:tr2bl w:val="nil"/>
                  </w:tcBorders>
                  <w:vAlign w:val="center"/>
                </w:tcPr>
                <w:p>
                  <w:pPr>
                    <w:adjustRightInd w:val="0"/>
                    <w:snapToGrid w:val="0"/>
                    <w:rPr>
                      <w:rFonts w:ascii="Times New Roman" w:hAnsi="Times New Roman" w:eastAsia="宋体" w:cs="Times New Roman"/>
                      <w:szCs w:val="21"/>
                      <w:lang w:val="zh-CN"/>
                    </w:rPr>
                  </w:pPr>
                  <w:r>
                    <w:rPr>
                      <w:rFonts w:ascii="Times New Roman" w:hAnsi="Times New Roman" w:eastAsia="宋体" w:cs="Times New Roman"/>
                      <w:szCs w:val="21"/>
                    </w:rPr>
                    <w:t>本项目为</w:t>
                  </w:r>
                  <w:r>
                    <w:rPr>
                      <w:rFonts w:hint="eastAsia" w:ascii="Times New Roman" w:hAnsi="Times New Roman" w:eastAsia="宋体" w:cs="Times New Roman"/>
                      <w:szCs w:val="21"/>
                    </w:rPr>
                    <w:t>沙、石加工项目</w:t>
                  </w:r>
                  <w:r>
                    <w:rPr>
                      <w:rFonts w:ascii="Times New Roman" w:hAnsi="Times New Roman" w:eastAsia="宋体" w:cs="Times New Roman"/>
                      <w:szCs w:val="21"/>
                    </w:rPr>
                    <w:t>，其产生的污染</w:t>
                  </w:r>
                  <w:r>
                    <w:rPr>
                      <w:rFonts w:hint="eastAsia" w:ascii="Times New Roman" w:hAnsi="Times New Roman" w:eastAsia="宋体" w:cs="Times New Roman"/>
                      <w:szCs w:val="21"/>
                    </w:rPr>
                    <w:t>主要为污泥，</w:t>
                  </w:r>
                  <w:r>
                    <w:rPr>
                      <w:rFonts w:ascii="Times New Roman" w:hAnsi="Times New Roman" w:eastAsia="宋体" w:cs="Times New Roman"/>
                      <w:szCs w:val="21"/>
                    </w:rPr>
                    <w:t>不属于工矿、重金属、工业废物污染。</w:t>
                  </w:r>
                </w:p>
              </w:tc>
              <w:tc>
                <w:tcPr>
                  <w:tcW w:w="617" w:type="pct"/>
                  <w:tcBorders>
                    <w:tl2br w:val="nil"/>
                    <w:tr2bl w:val="nil"/>
                  </w:tcBorders>
                  <w:vAlign w:val="center"/>
                </w:tcPr>
                <w:p>
                  <w:pPr>
                    <w:adjustRightInd w:val="0"/>
                    <w:snapToGrid w:val="0"/>
                    <w:jc w:val="center"/>
                    <w:rPr>
                      <w:rFonts w:ascii="Times New Roman" w:hAnsi="Times New Roman" w:eastAsia="宋体" w:cs="Times New Roman"/>
                      <w:szCs w:val="21"/>
                      <w:lang w:val="zh-CN"/>
                    </w:rPr>
                  </w:pPr>
                  <w:bookmarkStart w:id="216" w:name="_Toc18169"/>
                  <w:bookmarkStart w:id="217" w:name="_Toc17187"/>
                  <w:bookmarkStart w:id="218" w:name="_Toc2935"/>
                  <w:bookmarkStart w:id="219" w:name="_Toc4819"/>
                  <w:bookmarkStart w:id="220" w:name="_Toc2591"/>
                  <w:bookmarkStart w:id="221" w:name="_Toc5722"/>
                  <w:bookmarkStart w:id="222" w:name="_Toc16260"/>
                  <w:bookmarkStart w:id="223" w:name="_Toc5369"/>
                  <w:bookmarkStart w:id="224" w:name="_Toc12114"/>
                  <w:bookmarkStart w:id="225" w:name="_Toc22741"/>
                  <w:bookmarkStart w:id="226" w:name="_Toc22734"/>
                  <w:bookmarkStart w:id="227" w:name="_Toc6441"/>
                  <w:bookmarkStart w:id="228" w:name="_Toc29788"/>
                  <w:r>
                    <w:rPr>
                      <w:rFonts w:ascii="Times New Roman" w:hAnsi="Times New Roman" w:eastAsia="宋体" w:cs="Times New Roman"/>
                      <w:szCs w:val="21"/>
                      <w:lang w:val="zh-CN"/>
                    </w:rPr>
                    <w:t>符合</w:t>
                  </w:r>
                  <w:bookmarkEnd w:id="216"/>
                  <w:bookmarkEnd w:id="217"/>
                  <w:bookmarkEnd w:id="218"/>
                  <w:bookmarkEnd w:id="219"/>
                  <w:bookmarkEnd w:id="220"/>
                  <w:bookmarkEnd w:id="221"/>
                  <w:bookmarkEnd w:id="222"/>
                  <w:bookmarkEnd w:id="223"/>
                  <w:bookmarkEnd w:id="224"/>
                  <w:bookmarkEnd w:id="225"/>
                  <w:bookmarkEnd w:id="226"/>
                  <w:bookmarkEnd w:id="227"/>
                  <w:bookmarkEnd w:id="22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74" w:type="pct"/>
                  <w:tcBorders>
                    <w:tl2br w:val="nil"/>
                    <w:tr2bl w:val="nil"/>
                  </w:tcBorders>
                  <w:vAlign w:val="center"/>
                </w:tcPr>
                <w:p>
                  <w:pPr>
                    <w:adjustRightInd w:val="0"/>
                    <w:snapToGrid w:val="0"/>
                    <w:jc w:val="center"/>
                    <w:rPr>
                      <w:rFonts w:ascii="Times New Roman" w:hAnsi="Times New Roman" w:eastAsia="宋体" w:cs="Times New Roman"/>
                      <w:szCs w:val="21"/>
                    </w:rPr>
                  </w:pPr>
                  <w:bookmarkStart w:id="229" w:name="_Toc31228"/>
                  <w:bookmarkStart w:id="230" w:name="_Toc29403"/>
                  <w:bookmarkStart w:id="231" w:name="_Toc12649"/>
                  <w:bookmarkStart w:id="232" w:name="_Toc17688"/>
                  <w:bookmarkStart w:id="233" w:name="_Toc8126"/>
                  <w:bookmarkStart w:id="234" w:name="_Toc3225"/>
                  <w:bookmarkStart w:id="235" w:name="_Toc22922"/>
                  <w:bookmarkStart w:id="236" w:name="_Toc7763"/>
                  <w:bookmarkStart w:id="237" w:name="_Toc7981"/>
                  <w:bookmarkStart w:id="238" w:name="_Toc27729"/>
                  <w:bookmarkStart w:id="239" w:name="_Toc23076"/>
                  <w:bookmarkStart w:id="240" w:name="_Toc25736"/>
                  <w:bookmarkStart w:id="241" w:name="_Toc21280"/>
                  <w:r>
                    <w:rPr>
                      <w:rFonts w:ascii="Times New Roman" w:hAnsi="Times New Roman" w:eastAsia="宋体" w:cs="Times New Roman"/>
                      <w:szCs w:val="21"/>
                    </w:rPr>
                    <w:t>10</w:t>
                  </w:r>
                  <w:bookmarkEnd w:id="229"/>
                  <w:bookmarkEnd w:id="230"/>
                  <w:bookmarkEnd w:id="231"/>
                  <w:bookmarkEnd w:id="232"/>
                  <w:bookmarkEnd w:id="233"/>
                  <w:bookmarkEnd w:id="234"/>
                  <w:bookmarkEnd w:id="235"/>
                  <w:bookmarkEnd w:id="236"/>
                  <w:bookmarkEnd w:id="237"/>
                  <w:bookmarkEnd w:id="238"/>
                  <w:bookmarkEnd w:id="239"/>
                  <w:bookmarkEnd w:id="240"/>
                  <w:bookmarkEnd w:id="241"/>
                </w:p>
              </w:tc>
              <w:tc>
                <w:tcPr>
                  <w:tcW w:w="1386" w:type="pct"/>
                  <w:tcBorders>
                    <w:tl2br w:val="nil"/>
                    <w:tr2bl w:val="nil"/>
                  </w:tcBorders>
                  <w:vAlign w:val="center"/>
                </w:tcPr>
                <w:p>
                  <w:pPr>
                    <w:adjustRightInd w:val="0"/>
                    <w:snapToGrid w:val="0"/>
                    <w:rPr>
                      <w:rFonts w:ascii="Times New Roman" w:hAnsi="Times New Roman" w:eastAsia="宋体" w:cs="Times New Roman"/>
                      <w:szCs w:val="21"/>
                      <w:lang w:val="zh-CN"/>
                    </w:rPr>
                  </w:pPr>
                  <w:bookmarkStart w:id="242" w:name="_Toc23391"/>
                  <w:bookmarkStart w:id="243" w:name="_Toc31767"/>
                  <w:bookmarkStart w:id="244" w:name="_Toc6794"/>
                  <w:bookmarkStart w:id="245" w:name="_Toc24471"/>
                  <w:bookmarkStart w:id="246" w:name="_Toc11651"/>
                  <w:bookmarkStart w:id="247" w:name="_Toc20810"/>
                  <w:bookmarkStart w:id="248" w:name="_Toc5924"/>
                  <w:bookmarkStart w:id="249" w:name="_Toc19111"/>
                  <w:bookmarkStart w:id="250" w:name="_Toc32102"/>
                  <w:bookmarkStart w:id="251" w:name="_Toc3901"/>
                  <w:bookmarkStart w:id="252" w:name="_Toc9742"/>
                  <w:bookmarkStart w:id="253" w:name="_Toc12330"/>
                  <w:bookmarkStart w:id="254" w:name="_Toc5010"/>
                  <w:r>
                    <w:rPr>
                      <w:rFonts w:ascii="Times New Roman" w:hAnsi="Times New Roman" w:eastAsia="宋体" w:cs="Times New Roman"/>
                      <w:szCs w:val="21"/>
                    </w:rPr>
                    <w:t>加强目标考核，严格责任追究</w:t>
                  </w:r>
                  <w:bookmarkEnd w:id="242"/>
                  <w:bookmarkEnd w:id="243"/>
                  <w:bookmarkEnd w:id="244"/>
                  <w:bookmarkEnd w:id="245"/>
                  <w:bookmarkEnd w:id="246"/>
                  <w:bookmarkEnd w:id="247"/>
                  <w:bookmarkEnd w:id="248"/>
                  <w:bookmarkEnd w:id="249"/>
                  <w:bookmarkEnd w:id="250"/>
                  <w:bookmarkEnd w:id="251"/>
                  <w:bookmarkEnd w:id="252"/>
                  <w:bookmarkEnd w:id="253"/>
                  <w:bookmarkEnd w:id="254"/>
                </w:p>
              </w:tc>
              <w:tc>
                <w:tcPr>
                  <w:tcW w:w="2421" w:type="pct"/>
                  <w:tcBorders>
                    <w:tl2br w:val="nil"/>
                    <w:tr2bl w:val="nil"/>
                  </w:tcBorders>
                  <w:vAlign w:val="center"/>
                </w:tcPr>
                <w:p>
                  <w:pPr>
                    <w:adjustRightInd w:val="0"/>
                    <w:snapToGrid w:val="0"/>
                    <w:rPr>
                      <w:rFonts w:ascii="Times New Roman" w:hAnsi="Times New Roman" w:eastAsia="宋体" w:cs="Times New Roman"/>
                      <w:szCs w:val="21"/>
                      <w:lang w:val="zh-CN"/>
                    </w:rPr>
                  </w:pPr>
                  <w:r>
                    <w:rPr>
                      <w:rFonts w:ascii="Times New Roman" w:hAnsi="Times New Roman" w:eastAsia="宋体" w:cs="Times New Roman"/>
                      <w:szCs w:val="21"/>
                      <w:lang w:val="zh-CN"/>
                    </w:rPr>
                    <w:t>本项目严格落实厂区防渗措施，将土壤污染纳入环境分析防控体系，减少污染物对土壤的影响。</w:t>
                  </w:r>
                </w:p>
              </w:tc>
              <w:tc>
                <w:tcPr>
                  <w:tcW w:w="617" w:type="pct"/>
                  <w:tcBorders>
                    <w:tl2br w:val="nil"/>
                    <w:tr2bl w:val="nil"/>
                  </w:tcBorders>
                  <w:vAlign w:val="center"/>
                </w:tcPr>
                <w:p>
                  <w:pPr>
                    <w:adjustRightInd w:val="0"/>
                    <w:snapToGrid w:val="0"/>
                    <w:jc w:val="center"/>
                    <w:rPr>
                      <w:rFonts w:ascii="Times New Roman" w:hAnsi="Times New Roman" w:eastAsia="宋体" w:cs="Times New Roman"/>
                      <w:szCs w:val="21"/>
                      <w:lang w:val="zh-CN"/>
                    </w:rPr>
                  </w:pPr>
                  <w:bookmarkStart w:id="255" w:name="_Toc10845"/>
                  <w:bookmarkStart w:id="256" w:name="_Toc29455"/>
                  <w:bookmarkStart w:id="257" w:name="_Toc11144"/>
                  <w:bookmarkStart w:id="258" w:name="_Toc27037"/>
                  <w:bookmarkStart w:id="259" w:name="_Toc16239"/>
                  <w:bookmarkStart w:id="260" w:name="_Toc26091"/>
                  <w:bookmarkStart w:id="261" w:name="_Toc23492"/>
                  <w:bookmarkStart w:id="262" w:name="_Toc25306"/>
                  <w:bookmarkStart w:id="263" w:name="_Toc17392"/>
                  <w:bookmarkStart w:id="264" w:name="_Toc1301"/>
                  <w:bookmarkStart w:id="265" w:name="_Toc14641"/>
                  <w:bookmarkStart w:id="266" w:name="_Toc23298"/>
                  <w:bookmarkStart w:id="267" w:name="_Toc14515"/>
                  <w:r>
                    <w:rPr>
                      <w:rFonts w:ascii="Times New Roman" w:hAnsi="Times New Roman" w:eastAsia="宋体" w:cs="Times New Roman"/>
                      <w:szCs w:val="21"/>
                      <w:lang w:val="zh-CN"/>
                    </w:rPr>
                    <w:t>符合</w:t>
                  </w:r>
                  <w:bookmarkEnd w:id="255"/>
                  <w:bookmarkEnd w:id="256"/>
                  <w:bookmarkEnd w:id="257"/>
                  <w:bookmarkEnd w:id="258"/>
                  <w:bookmarkEnd w:id="259"/>
                  <w:bookmarkEnd w:id="260"/>
                  <w:bookmarkEnd w:id="261"/>
                  <w:bookmarkEnd w:id="262"/>
                  <w:bookmarkEnd w:id="263"/>
                  <w:bookmarkEnd w:id="264"/>
                  <w:bookmarkEnd w:id="265"/>
                  <w:bookmarkEnd w:id="266"/>
                  <w:bookmarkEnd w:id="267"/>
                </w:p>
              </w:tc>
            </w:tr>
          </w:tbl>
          <w:p>
            <w:pPr>
              <w:adjustRightInd w:val="0"/>
              <w:snapToGrid w:val="0"/>
              <w:spacing w:line="360" w:lineRule="auto"/>
              <w:ind w:firstLine="482" w:firstLineChars="200"/>
              <w:rPr>
                <w:rFonts w:ascii="Times New Roman" w:hAnsi="Times New Roman" w:eastAsia="宋体" w:cs="Times New Roman"/>
                <w:b/>
                <w:bCs/>
                <w:sz w:val="24"/>
              </w:rPr>
            </w:pPr>
          </w:p>
          <w:p>
            <w:pPr>
              <w:adjustRightInd w:val="0"/>
              <w:snapToGrid w:val="0"/>
              <w:spacing w:line="360" w:lineRule="auto"/>
              <w:ind w:firstLine="482" w:firstLineChars="200"/>
              <w:outlineLvl w:val="3"/>
              <w:rPr>
                <w:rFonts w:ascii="Times New Roman" w:hAnsi="Times New Roman" w:eastAsia="宋体" w:cs="Times New Roman"/>
                <w:b/>
                <w:kern w:val="0"/>
                <w:sz w:val="24"/>
                <w:lang w:bidi="ar"/>
              </w:rPr>
            </w:pPr>
            <w:r>
              <w:rPr>
                <w:rFonts w:ascii="Times New Roman" w:hAnsi="Times New Roman" w:eastAsia="宋体" w:cs="Times New Roman"/>
                <w:b/>
                <w:bCs/>
                <w:sz w:val="24"/>
              </w:rPr>
              <w:t>7、</w:t>
            </w:r>
            <w:r>
              <w:rPr>
                <w:rFonts w:ascii="Times New Roman" w:hAnsi="Times New Roman" w:eastAsia="宋体" w:cs="Times New Roman"/>
                <w:b/>
                <w:kern w:val="0"/>
                <w:sz w:val="24"/>
                <w:lang w:bidi="ar"/>
              </w:rPr>
              <w:t>与临沧市打赢蓝天保卫战三年行动实施细则的符合性分析</w:t>
            </w:r>
          </w:p>
          <w:p>
            <w:pPr>
              <w:widowControl/>
              <w:adjustRightInd w:val="0"/>
              <w:snapToGrid w:val="0"/>
              <w:jc w:val="center"/>
              <w:rPr>
                <w:rFonts w:ascii="Times New Roman" w:hAnsi="Times New Roman" w:eastAsia="宋体" w:cs="Times New Roman"/>
                <w:b/>
                <w:bCs/>
                <w:kern w:val="0"/>
                <w:szCs w:val="21"/>
                <w:lang w:bidi="ar"/>
              </w:rPr>
            </w:pPr>
            <w:r>
              <w:rPr>
                <w:rFonts w:ascii="Times New Roman" w:hAnsi="Times New Roman" w:eastAsia="宋体" w:cs="Times New Roman"/>
                <w:b/>
                <w:bCs/>
                <w:kern w:val="0"/>
                <w:szCs w:val="21"/>
                <w:lang w:bidi="ar"/>
              </w:rPr>
              <w:t>表1-</w:t>
            </w:r>
            <w:r>
              <w:rPr>
                <w:rFonts w:hint="eastAsia" w:ascii="Times New Roman" w:hAnsi="Times New Roman" w:eastAsia="宋体" w:cs="Times New Roman"/>
                <w:b/>
                <w:bCs/>
                <w:kern w:val="0"/>
                <w:szCs w:val="21"/>
                <w:lang w:bidi="ar"/>
              </w:rPr>
              <w:t>6</w:t>
            </w:r>
            <w:r>
              <w:rPr>
                <w:rFonts w:ascii="Times New Roman" w:hAnsi="Times New Roman" w:eastAsia="宋体" w:cs="Times New Roman"/>
                <w:b/>
                <w:bCs/>
                <w:kern w:val="0"/>
                <w:szCs w:val="21"/>
                <w:lang w:bidi="ar"/>
              </w:rPr>
              <w:t xml:space="preserve"> 项目与“临沧市打赢蓝天保卫战三年行动实施细则”符合性分析</w:t>
            </w:r>
          </w:p>
          <w:tbl>
            <w:tblPr>
              <w:tblStyle w:val="29"/>
              <w:tblW w:w="71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60"/>
              <w:gridCol w:w="3591"/>
              <w:gridCol w:w="2283"/>
              <w:gridCol w:w="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660" w:type="dxa"/>
                  <w:vAlign w:val="center"/>
                </w:tcPr>
                <w:p>
                  <w:pPr>
                    <w:autoSpaceDE w:val="0"/>
                    <w:autoSpaceDN w:val="0"/>
                    <w:adjustRightInd w:val="0"/>
                    <w:snapToGrid w:val="0"/>
                    <w:jc w:val="center"/>
                    <w:rPr>
                      <w:rFonts w:ascii="Times New Roman" w:hAnsi="Times New Roman" w:eastAsia="宋体" w:cs="Times New Roman"/>
                      <w:b/>
                      <w:bCs/>
                      <w:szCs w:val="21"/>
                      <w:lang w:val="zh-CN" w:bidi="zh-CN"/>
                    </w:rPr>
                  </w:pPr>
                  <w:r>
                    <w:rPr>
                      <w:rFonts w:ascii="Times New Roman" w:hAnsi="Times New Roman" w:eastAsia="宋体" w:cs="Times New Roman"/>
                      <w:b/>
                      <w:bCs/>
                      <w:szCs w:val="21"/>
                      <w:lang w:val="zh-CN" w:bidi="zh-CN"/>
                    </w:rPr>
                    <w:t>项目</w:t>
                  </w:r>
                </w:p>
              </w:tc>
              <w:tc>
                <w:tcPr>
                  <w:tcW w:w="3591" w:type="dxa"/>
                  <w:vAlign w:val="center"/>
                </w:tcPr>
                <w:p>
                  <w:pPr>
                    <w:autoSpaceDE w:val="0"/>
                    <w:autoSpaceDN w:val="0"/>
                    <w:adjustRightInd w:val="0"/>
                    <w:snapToGrid w:val="0"/>
                    <w:jc w:val="center"/>
                    <w:rPr>
                      <w:rFonts w:ascii="Times New Roman" w:hAnsi="Times New Roman" w:eastAsia="宋体" w:cs="Times New Roman"/>
                      <w:b/>
                      <w:bCs/>
                      <w:szCs w:val="21"/>
                      <w:lang w:val="zh-CN" w:bidi="zh-CN"/>
                    </w:rPr>
                  </w:pPr>
                  <w:r>
                    <w:rPr>
                      <w:rFonts w:ascii="Times New Roman" w:hAnsi="Times New Roman" w:eastAsia="宋体" w:cs="Times New Roman"/>
                      <w:b/>
                      <w:bCs/>
                      <w:szCs w:val="21"/>
                      <w:lang w:val="zh-CN" w:bidi="zh-CN"/>
                    </w:rPr>
                    <w:t>与本项目相关条例</w:t>
                  </w:r>
                </w:p>
              </w:tc>
              <w:tc>
                <w:tcPr>
                  <w:tcW w:w="2283" w:type="dxa"/>
                  <w:vAlign w:val="center"/>
                </w:tcPr>
                <w:p>
                  <w:pPr>
                    <w:autoSpaceDE w:val="0"/>
                    <w:autoSpaceDN w:val="0"/>
                    <w:adjustRightInd w:val="0"/>
                    <w:snapToGrid w:val="0"/>
                    <w:jc w:val="center"/>
                    <w:rPr>
                      <w:rFonts w:ascii="Times New Roman" w:hAnsi="Times New Roman" w:eastAsia="宋体" w:cs="Times New Roman"/>
                      <w:b/>
                      <w:bCs/>
                      <w:szCs w:val="21"/>
                      <w:lang w:val="zh-CN" w:bidi="zh-CN"/>
                    </w:rPr>
                  </w:pPr>
                  <w:r>
                    <w:rPr>
                      <w:rFonts w:ascii="Times New Roman" w:hAnsi="Times New Roman" w:eastAsia="宋体" w:cs="Times New Roman"/>
                      <w:b/>
                      <w:bCs/>
                      <w:szCs w:val="21"/>
                      <w:lang w:val="zh-CN" w:bidi="zh-CN"/>
                    </w:rPr>
                    <w:t>项目情况</w:t>
                  </w:r>
                </w:p>
              </w:tc>
              <w:tc>
                <w:tcPr>
                  <w:tcW w:w="604" w:type="dxa"/>
                  <w:vAlign w:val="center"/>
                </w:tcPr>
                <w:p>
                  <w:pPr>
                    <w:autoSpaceDE w:val="0"/>
                    <w:autoSpaceDN w:val="0"/>
                    <w:adjustRightInd w:val="0"/>
                    <w:snapToGrid w:val="0"/>
                    <w:jc w:val="center"/>
                    <w:rPr>
                      <w:rFonts w:ascii="Times New Roman" w:hAnsi="Times New Roman" w:eastAsia="宋体" w:cs="Times New Roman"/>
                      <w:b/>
                      <w:bCs/>
                      <w:szCs w:val="21"/>
                      <w:lang w:val="zh-CN" w:bidi="zh-CN"/>
                    </w:rPr>
                  </w:pPr>
                  <w:r>
                    <w:rPr>
                      <w:rFonts w:ascii="Times New Roman" w:hAnsi="Times New Roman" w:eastAsia="宋体" w:cs="Times New Roman"/>
                      <w:b/>
                      <w:bCs/>
                      <w:szCs w:val="21"/>
                      <w:lang w:val="zh-CN" w:bidi="zh-CN"/>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660" w:type="dxa"/>
                  <w:vMerge w:val="restart"/>
                  <w:vAlign w:val="center"/>
                </w:tcPr>
                <w:p>
                  <w:pPr>
                    <w:autoSpaceDE w:val="0"/>
                    <w:autoSpaceDN w:val="0"/>
                    <w:adjustRightInd w:val="0"/>
                    <w:snapToGrid w:val="0"/>
                    <w:jc w:val="center"/>
                    <w:rPr>
                      <w:rFonts w:ascii="Times New Roman" w:hAnsi="Times New Roman" w:eastAsia="宋体" w:cs="Times New Roman"/>
                      <w:szCs w:val="21"/>
                      <w:lang w:val="zh-CN" w:bidi="zh-CN"/>
                    </w:rPr>
                  </w:pPr>
                  <w:r>
                    <w:rPr>
                      <w:rFonts w:ascii="Times New Roman" w:hAnsi="Times New Roman" w:eastAsia="宋体" w:cs="Times New Roman"/>
                      <w:szCs w:val="21"/>
                      <w:lang w:val="zh-CN" w:bidi="zh-CN"/>
                    </w:rPr>
                    <w:t>临沧市人民政府关于印发临沧市打赢蓝天保卫战三年行动实施细则的通知临政发〔2018〕76号</w:t>
                  </w:r>
                </w:p>
              </w:tc>
              <w:tc>
                <w:tcPr>
                  <w:tcW w:w="3591" w:type="dxa"/>
                  <w:vAlign w:val="center"/>
                </w:tcPr>
                <w:p>
                  <w:pPr>
                    <w:autoSpaceDE w:val="0"/>
                    <w:autoSpaceDN w:val="0"/>
                    <w:adjustRightInd w:val="0"/>
                    <w:snapToGrid w:val="0"/>
                    <w:rPr>
                      <w:rFonts w:ascii="Times New Roman" w:hAnsi="Times New Roman" w:eastAsia="宋体" w:cs="Times New Roman"/>
                      <w:szCs w:val="21"/>
                      <w:lang w:val="zh-CN" w:bidi="zh-CN"/>
                    </w:rPr>
                  </w:pPr>
                  <w:r>
                    <w:rPr>
                      <w:rFonts w:ascii="Times New Roman" w:hAnsi="Times New Roman" w:eastAsia="宋体" w:cs="Times New Roman"/>
                      <w:szCs w:val="21"/>
                      <w:lang w:val="zh-CN" w:bidi="zh-CN"/>
                    </w:rPr>
                    <w:t>一、调整优化产业结构，推进产业绿色发展。</w:t>
                  </w:r>
                </w:p>
                <w:p>
                  <w:pPr>
                    <w:pStyle w:val="54"/>
                    <w:adjustRightInd w:val="0"/>
                    <w:snapToGrid w:val="0"/>
                    <w:jc w:val="both"/>
                    <w:rPr>
                      <w:rFonts w:ascii="Times New Roman" w:hAnsi="Times New Roman" w:cs="Times New Roman"/>
                      <w:sz w:val="21"/>
                      <w:szCs w:val="21"/>
                      <w:lang w:val="zh-CN" w:bidi="zh-CN"/>
                    </w:rPr>
                  </w:pPr>
                  <w:r>
                    <w:rPr>
                      <w:rFonts w:ascii="Times New Roman" w:hAnsi="Times New Roman" w:cs="Times New Roman"/>
                      <w:sz w:val="21"/>
                      <w:szCs w:val="21"/>
                      <w:lang w:val="zh-CN" w:bidi="zh-CN"/>
                    </w:rPr>
                    <w:t>1.优化产业布局。其中：积极推行区域、规划环境影响评价，新改扩建排放主要大气污染物的建设项目的环境影响评价，应满足区域、规划环评要求。</w:t>
                  </w:r>
                </w:p>
              </w:tc>
              <w:tc>
                <w:tcPr>
                  <w:tcW w:w="2283" w:type="dxa"/>
                  <w:vAlign w:val="center"/>
                </w:tcPr>
                <w:p>
                  <w:pPr>
                    <w:autoSpaceDE w:val="0"/>
                    <w:autoSpaceDN w:val="0"/>
                    <w:adjustRightInd w:val="0"/>
                    <w:snapToGrid w:val="0"/>
                    <w:rPr>
                      <w:rFonts w:ascii="Times New Roman" w:hAnsi="Times New Roman" w:eastAsia="宋体" w:cs="Times New Roman"/>
                      <w:szCs w:val="21"/>
                      <w:lang w:val="zh-CN" w:bidi="zh-CN"/>
                    </w:rPr>
                  </w:pPr>
                  <w:r>
                    <w:rPr>
                      <w:rFonts w:ascii="Times New Roman" w:hAnsi="Times New Roman" w:eastAsia="宋体" w:cs="Times New Roman"/>
                      <w:szCs w:val="21"/>
                      <w:lang w:val="zh-CN" w:bidi="zh-CN"/>
                    </w:rPr>
                    <w:t>本项目</w:t>
                  </w:r>
                  <w:r>
                    <w:rPr>
                      <w:rFonts w:hint="eastAsia" w:ascii="Times New Roman" w:hAnsi="Times New Roman" w:eastAsia="宋体" w:cs="Times New Roman"/>
                      <w:szCs w:val="21"/>
                      <w:lang w:bidi="zh-CN"/>
                    </w:rPr>
                    <w:t>产生的废气</w:t>
                  </w:r>
                  <w:r>
                    <w:rPr>
                      <w:rFonts w:ascii="Times New Roman" w:hAnsi="Times New Roman" w:eastAsia="宋体" w:cs="Times New Roman"/>
                      <w:szCs w:val="21"/>
                      <w:lang w:val="zh-CN" w:bidi="zh-CN"/>
                    </w:rPr>
                    <w:t>主要粉尘，</w:t>
                  </w:r>
                  <w:r>
                    <w:rPr>
                      <w:rFonts w:hint="eastAsia" w:ascii="Times New Roman" w:hAnsi="Times New Roman" w:eastAsia="宋体" w:cs="Times New Roman"/>
                      <w:szCs w:val="21"/>
                      <w:lang w:val="zh-CN" w:bidi="zh-CN"/>
                    </w:rPr>
                    <w:t>本项目堆场设置彩钢瓦大棚</w:t>
                  </w:r>
                  <w:r>
                    <w:rPr>
                      <w:rFonts w:hint="eastAsia" w:ascii="Times New Roman" w:hAnsi="Times New Roman" w:eastAsia="宋体" w:cs="Times New Roman"/>
                      <w:szCs w:val="21"/>
                      <w:lang w:bidi="zh-CN"/>
                    </w:rPr>
                    <w:t>+三面围挡，并配套设置6台雾炮机洒水降尘</w:t>
                  </w:r>
                  <w:r>
                    <w:rPr>
                      <w:rFonts w:hint="eastAsia" w:ascii="Times New Roman" w:hAnsi="Times New Roman" w:eastAsia="宋体" w:cs="Times New Roman"/>
                      <w:szCs w:val="21"/>
                      <w:lang w:val="zh-CN" w:bidi="zh-CN"/>
                    </w:rPr>
                    <w:t>，破碎加工区设置彩钢瓦大棚，在破碎区</w:t>
                  </w:r>
                  <w:r>
                    <w:rPr>
                      <w:rFonts w:hint="eastAsia" w:ascii="Times New Roman" w:hAnsi="Times New Roman" w:cs="Times New Roman"/>
                      <w:kern w:val="0"/>
                      <w:szCs w:val="21"/>
                    </w:rPr>
                    <w:t>破碎机、振动筛、下料口处设置1套喷洒头</w:t>
                  </w:r>
                  <w:r>
                    <w:rPr>
                      <w:rFonts w:hint="eastAsia" w:ascii="Times New Roman" w:hAnsi="Times New Roman" w:eastAsia="宋体" w:cs="Times New Roman"/>
                      <w:szCs w:val="21"/>
                      <w:lang w:val="zh-CN" w:bidi="zh-CN"/>
                    </w:rPr>
                    <w:t>，出入口设置轮胎清洗池对运输车辆进行清洗。</w:t>
                  </w:r>
                  <w:r>
                    <w:rPr>
                      <w:rFonts w:ascii="Times New Roman" w:hAnsi="Times New Roman" w:eastAsia="宋体" w:cs="Times New Roman"/>
                      <w:spacing w:val="9"/>
                      <w:szCs w:val="21"/>
                    </w:rPr>
                    <w:t>粉尘</w:t>
                  </w:r>
                  <w:r>
                    <w:rPr>
                      <w:rFonts w:hint="eastAsia" w:ascii="Times New Roman" w:hAnsi="Times New Roman" w:eastAsia="宋体" w:cs="Times New Roman"/>
                      <w:spacing w:val="9"/>
                      <w:szCs w:val="21"/>
                    </w:rPr>
                    <w:t>在采取上述降尘措施后对环境影响较小</w:t>
                  </w:r>
                  <w:r>
                    <w:rPr>
                      <w:rFonts w:ascii="Times New Roman" w:hAnsi="Times New Roman" w:eastAsia="宋体" w:cs="Times New Roman"/>
                      <w:szCs w:val="21"/>
                      <w:lang w:val="zh-CN" w:bidi="zh-CN"/>
                    </w:rPr>
                    <w:t>。</w:t>
                  </w:r>
                  <w:r>
                    <w:rPr>
                      <w:rFonts w:hint="eastAsia" w:ascii="Times New Roman" w:hAnsi="Times New Roman" w:eastAsia="宋体" w:cs="Times New Roman"/>
                      <w:szCs w:val="21"/>
                      <w:lang w:val="zh-CN" w:bidi="zh-CN"/>
                    </w:rPr>
                    <w:t>无组织粉尘排放满足《大气污染物综合排放标准》（GB16297-1996）表2新污染源大气污染物排放限值中的无组织排放监控浓度限值要求。</w:t>
                  </w:r>
                </w:p>
              </w:tc>
              <w:tc>
                <w:tcPr>
                  <w:tcW w:w="604" w:type="dxa"/>
                  <w:vAlign w:val="center"/>
                </w:tcPr>
                <w:p>
                  <w:pPr>
                    <w:autoSpaceDE w:val="0"/>
                    <w:autoSpaceDN w:val="0"/>
                    <w:adjustRightInd w:val="0"/>
                    <w:snapToGrid w:val="0"/>
                    <w:jc w:val="center"/>
                    <w:rPr>
                      <w:rFonts w:ascii="Times New Roman" w:hAnsi="Times New Roman" w:eastAsia="宋体" w:cs="Times New Roman"/>
                      <w:szCs w:val="21"/>
                      <w:lang w:val="zh-CN" w:bidi="zh-CN"/>
                    </w:rPr>
                  </w:pPr>
                  <w:r>
                    <w:rPr>
                      <w:rFonts w:ascii="Times New Roman" w:hAnsi="Times New Roman" w:eastAsia="宋体" w:cs="Times New Roman"/>
                      <w:szCs w:val="21"/>
                      <w:lang w:val="zh-CN" w:bidi="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660" w:type="dxa"/>
                  <w:vMerge w:val="continue"/>
                  <w:vAlign w:val="center"/>
                </w:tcPr>
                <w:p>
                  <w:pPr>
                    <w:autoSpaceDE w:val="0"/>
                    <w:autoSpaceDN w:val="0"/>
                    <w:adjustRightInd w:val="0"/>
                    <w:snapToGrid w:val="0"/>
                    <w:jc w:val="center"/>
                    <w:rPr>
                      <w:rFonts w:ascii="Times New Roman" w:hAnsi="Times New Roman" w:eastAsia="宋体" w:cs="Times New Roman"/>
                      <w:szCs w:val="21"/>
                      <w:lang w:val="zh-CN" w:bidi="zh-CN"/>
                    </w:rPr>
                  </w:pPr>
                </w:p>
              </w:tc>
              <w:tc>
                <w:tcPr>
                  <w:tcW w:w="3591" w:type="dxa"/>
                  <w:vAlign w:val="center"/>
                </w:tcPr>
                <w:p>
                  <w:pPr>
                    <w:pStyle w:val="54"/>
                    <w:adjustRightInd w:val="0"/>
                    <w:snapToGrid w:val="0"/>
                    <w:jc w:val="both"/>
                    <w:rPr>
                      <w:rFonts w:ascii="Times New Roman" w:hAnsi="Times New Roman" w:cs="Times New Roman"/>
                      <w:sz w:val="21"/>
                      <w:szCs w:val="21"/>
                      <w:lang w:val="zh-CN" w:bidi="zh-CN"/>
                    </w:rPr>
                  </w:pPr>
                  <w:r>
                    <w:rPr>
                      <w:rFonts w:ascii="Times New Roman" w:hAnsi="Times New Roman" w:cs="Times New Roman"/>
                      <w:sz w:val="21"/>
                      <w:szCs w:val="21"/>
                      <w:lang w:val="zh-CN" w:bidi="zh-CN"/>
                    </w:rPr>
                    <w:t>一、调整优化产业结构，推进产业绿色发展。</w:t>
                  </w:r>
                </w:p>
                <w:p>
                  <w:pPr>
                    <w:pStyle w:val="54"/>
                    <w:adjustRightInd w:val="0"/>
                    <w:snapToGrid w:val="0"/>
                    <w:jc w:val="both"/>
                    <w:rPr>
                      <w:rFonts w:ascii="Times New Roman" w:hAnsi="Times New Roman" w:cs="Times New Roman"/>
                      <w:sz w:val="21"/>
                      <w:szCs w:val="21"/>
                      <w:lang w:val="zh-CN" w:bidi="zh-CN"/>
                    </w:rPr>
                  </w:pPr>
                  <w:r>
                    <w:rPr>
                      <w:rFonts w:ascii="Times New Roman" w:hAnsi="Times New Roman" w:cs="Times New Roman"/>
                      <w:sz w:val="21"/>
                      <w:szCs w:val="21"/>
                      <w:lang w:val="zh-CN" w:bidi="zh-CN"/>
                    </w:rPr>
                    <w:t>4.深化工业污染治理。其中：强化工业企业无组织排放管控。</w:t>
                  </w:r>
                </w:p>
              </w:tc>
              <w:tc>
                <w:tcPr>
                  <w:tcW w:w="2283" w:type="dxa"/>
                  <w:vAlign w:val="center"/>
                </w:tcPr>
                <w:p>
                  <w:pPr>
                    <w:autoSpaceDE w:val="0"/>
                    <w:autoSpaceDN w:val="0"/>
                    <w:adjustRightInd w:val="0"/>
                    <w:snapToGrid w:val="0"/>
                    <w:rPr>
                      <w:rFonts w:ascii="Times New Roman" w:hAnsi="Times New Roman" w:eastAsia="宋体" w:cs="Times New Roman"/>
                      <w:szCs w:val="21"/>
                      <w:lang w:val="zh-CN" w:bidi="zh-CN"/>
                    </w:rPr>
                  </w:pPr>
                  <w:r>
                    <w:rPr>
                      <w:rFonts w:ascii="Times New Roman" w:hAnsi="Times New Roman" w:eastAsia="宋体" w:cs="Times New Roman"/>
                      <w:szCs w:val="21"/>
                      <w:lang w:val="zh-CN" w:bidi="zh-CN"/>
                    </w:rPr>
                    <w:t>本项目无组织废气为无组织粉尘，</w:t>
                  </w:r>
                  <w:r>
                    <w:rPr>
                      <w:rFonts w:hint="eastAsia" w:ascii="Times New Roman" w:hAnsi="Times New Roman" w:eastAsia="宋体" w:cs="Times New Roman"/>
                      <w:szCs w:val="21"/>
                      <w:lang w:val="zh-CN" w:bidi="zh-CN"/>
                    </w:rPr>
                    <w:t>本项目堆场设置彩钢瓦大棚</w:t>
                  </w:r>
                  <w:r>
                    <w:rPr>
                      <w:rFonts w:hint="eastAsia" w:ascii="Times New Roman" w:hAnsi="Times New Roman" w:eastAsia="宋体" w:cs="Times New Roman"/>
                      <w:szCs w:val="21"/>
                      <w:lang w:bidi="zh-CN"/>
                    </w:rPr>
                    <w:t>+三面围挡，并配套设置6台雾炮机洒水降尘</w:t>
                  </w:r>
                  <w:r>
                    <w:rPr>
                      <w:rFonts w:hint="eastAsia" w:ascii="Times New Roman" w:hAnsi="Times New Roman" w:eastAsia="宋体" w:cs="Times New Roman"/>
                      <w:szCs w:val="21"/>
                      <w:lang w:val="zh-CN" w:bidi="zh-CN"/>
                    </w:rPr>
                    <w:t>，破碎加工区设置彩钢瓦大棚，在破碎区</w:t>
                  </w:r>
                  <w:r>
                    <w:rPr>
                      <w:rFonts w:hint="eastAsia" w:ascii="Times New Roman" w:hAnsi="Times New Roman" w:cs="Times New Roman"/>
                      <w:kern w:val="0"/>
                      <w:szCs w:val="21"/>
                    </w:rPr>
                    <w:t>破碎机、振动筛、下料口处设置1套喷洒头</w:t>
                  </w:r>
                  <w:r>
                    <w:rPr>
                      <w:rFonts w:hint="eastAsia" w:ascii="Times New Roman" w:hAnsi="Times New Roman" w:eastAsia="宋体" w:cs="Times New Roman"/>
                      <w:szCs w:val="21"/>
                      <w:lang w:val="zh-CN" w:bidi="zh-CN"/>
                    </w:rPr>
                    <w:t>，出入口设置轮胎清洗池对运输车辆进行清洗。</w:t>
                  </w:r>
                  <w:r>
                    <w:rPr>
                      <w:rFonts w:ascii="Times New Roman" w:hAnsi="Times New Roman" w:eastAsia="宋体" w:cs="Times New Roman"/>
                      <w:spacing w:val="9"/>
                      <w:szCs w:val="21"/>
                    </w:rPr>
                    <w:t>粉尘</w:t>
                  </w:r>
                  <w:r>
                    <w:rPr>
                      <w:rFonts w:hint="eastAsia" w:ascii="Times New Roman" w:hAnsi="Times New Roman" w:eastAsia="宋体" w:cs="Times New Roman"/>
                      <w:spacing w:val="9"/>
                      <w:szCs w:val="21"/>
                    </w:rPr>
                    <w:t>在上述降尘措施后对环境影响较小</w:t>
                  </w:r>
                  <w:r>
                    <w:rPr>
                      <w:rFonts w:ascii="Times New Roman" w:hAnsi="Times New Roman" w:eastAsia="宋体" w:cs="Times New Roman"/>
                      <w:szCs w:val="21"/>
                      <w:lang w:val="zh-CN" w:bidi="zh-CN"/>
                    </w:rPr>
                    <w:t>。</w:t>
                  </w:r>
                  <w:r>
                    <w:rPr>
                      <w:rFonts w:hint="eastAsia" w:ascii="Times New Roman" w:hAnsi="Times New Roman" w:eastAsia="宋体" w:cs="Times New Roman"/>
                      <w:szCs w:val="21"/>
                      <w:lang w:val="zh-CN" w:bidi="zh-CN"/>
                    </w:rPr>
                    <w:t>本项目已对无组织废气排放进行了管控。</w:t>
                  </w:r>
                </w:p>
              </w:tc>
              <w:tc>
                <w:tcPr>
                  <w:tcW w:w="604" w:type="dxa"/>
                  <w:vAlign w:val="center"/>
                </w:tcPr>
                <w:p>
                  <w:pPr>
                    <w:autoSpaceDE w:val="0"/>
                    <w:autoSpaceDN w:val="0"/>
                    <w:adjustRightInd w:val="0"/>
                    <w:snapToGrid w:val="0"/>
                    <w:jc w:val="center"/>
                    <w:rPr>
                      <w:rFonts w:ascii="Times New Roman" w:hAnsi="Times New Roman" w:eastAsia="宋体" w:cs="Times New Roman"/>
                      <w:szCs w:val="21"/>
                      <w:lang w:val="zh-CN" w:bidi="zh-CN"/>
                    </w:rPr>
                  </w:pPr>
                  <w:r>
                    <w:rPr>
                      <w:rFonts w:ascii="Times New Roman" w:hAnsi="Times New Roman" w:eastAsia="宋体" w:cs="Times New Roman"/>
                      <w:szCs w:val="21"/>
                      <w:lang w:val="zh-CN" w:bidi="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84" w:hRule="atLeast"/>
                <w:jc w:val="center"/>
              </w:trPr>
              <w:tc>
                <w:tcPr>
                  <w:tcW w:w="660" w:type="dxa"/>
                  <w:vMerge w:val="continue"/>
                  <w:vAlign w:val="center"/>
                </w:tcPr>
                <w:p>
                  <w:pPr>
                    <w:autoSpaceDE w:val="0"/>
                    <w:autoSpaceDN w:val="0"/>
                    <w:adjustRightInd w:val="0"/>
                    <w:snapToGrid w:val="0"/>
                    <w:jc w:val="center"/>
                    <w:rPr>
                      <w:rFonts w:ascii="Times New Roman" w:hAnsi="Times New Roman" w:eastAsia="宋体" w:cs="Times New Roman"/>
                      <w:szCs w:val="21"/>
                      <w:lang w:val="zh-CN" w:bidi="zh-CN"/>
                    </w:rPr>
                  </w:pPr>
                </w:p>
              </w:tc>
              <w:tc>
                <w:tcPr>
                  <w:tcW w:w="3591" w:type="dxa"/>
                  <w:vAlign w:val="center"/>
                </w:tcPr>
                <w:p>
                  <w:pPr>
                    <w:pStyle w:val="54"/>
                    <w:adjustRightInd w:val="0"/>
                    <w:snapToGrid w:val="0"/>
                    <w:jc w:val="both"/>
                    <w:rPr>
                      <w:rFonts w:ascii="Times New Roman" w:hAnsi="Times New Roman" w:cs="Times New Roman"/>
                      <w:sz w:val="21"/>
                      <w:szCs w:val="21"/>
                      <w:lang w:bidi="ar"/>
                    </w:rPr>
                  </w:pPr>
                  <w:r>
                    <w:rPr>
                      <w:rFonts w:ascii="Times New Roman" w:hAnsi="Times New Roman" w:cs="Times New Roman"/>
                      <w:sz w:val="21"/>
                      <w:szCs w:val="21"/>
                      <w:shd w:val="clear" w:color="auto" w:fill="FFFFFF"/>
                    </w:rPr>
                    <w:t>四、优化调整用地结构，推进面源污染治理。</w:t>
                  </w:r>
                </w:p>
                <w:p>
                  <w:pPr>
                    <w:pStyle w:val="54"/>
                    <w:adjustRightInd w:val="0"/>
                    <w:snapToGrid w:val="0"/>
                    <w:jc w:val="both"/>
                    <w:rPr>
                      <w:rFonts w:ascii="Times New Roman" w:hAnsi="Times New Roman" w:cs="Times New Roman"/>
                      <w:spacing w:val="-9"/>
                      <w:sz w:val="21"/>
                      <w:szCs w:val="21"/>
                      <w:lang w:bidi="ar"/>
                    </w:rPr>
                  </w:pPr>
                  <w:r>
                    <w:rPr>
                      <w:rFonts w:ascii="Times New Roman" w:hAnsi="Times New Roman" w:cs="Times New Roman"/>
                      <w:sz w:val="21"/>
                      <w:szCs w:val="21"/>
                      <w:lang w:bidi="ar"/>
                    </w:rPr>
                    <w:t>14.加强扬尘综</w:t>
                  </w:r>
                  <w:r>
                    <w:rPr>
                      <w:rFonts w:ascii="Times New Roman" w:hAnsi="Times New Roman" w:cs="Times New Roman"/>
                      <w:spacing w:val="-9"/>
                      <w:sz w:val="21"/>
                      <w:szCs w:val="21"/>
                      <w:lang w:bidi="ar"/>
                    </w:rPr>
                    <w:t>合治理。</w:t>
                  </w:r>
                </w:p>
                <w:p>
                  <w:pPr>
                    <w:pStyle w:val="54"/>
                    <w:adjustRightInd w:val="0"/>
                    <w:snapToGrid w:val="0"/>
                    <w:jc w:val="both"/>
                    <w:rPr>
                      <w:rFonts w:ascii="Times New Roman" w:hAnsi="Times New Roman" w:cs="Times New Roman"/>
                      <w:sz w:val="21"/>
                      <w:szCs w:val="21"/>
                      <w:lang w:bidi="ar"/>
                    </w:rPr>
                  </w:pPr>
                  <w:r>
                    <w:rPr>
                      <w:rFonts w:ascii="Times New Roman" w:hAnsi="Times New Roman" w:cs="Times New Roman"/>
                      <w:sz w:val="21"/>
                      <w:szCs w:val="21"/>
                      <w:shd w:val="clear" w:color="auto" w:fill="FFFFFF"/>
                    </w:rPr>
                    <w:t>严格施工扬尘监管。2018年底前，各县（区）建立施工工地管理清单。因地制宜稳步发展装配式建筑。将施工工地扬尘污染防治纳入文明施工管理范畴，建立扬尘控制责任制度，扬尘治理费用列入工程造价。建立健全城市建筑工地扬尘污染防治网格化监管机制，突出解决城市扬尘污染问题。建筑施工工地要做到工地周边围挡、物料堆放覆盖、土方开挖湿法作业、路面硬化、出入车辆清洗、渣土车辆密闭运输“六个百分之百”，安装在线监测和视频监控设备，并与当地有关主管部门联网。将扬尘管理工作不到位的不良信息纳入建筑市场信用管理体系，情节严重的，列入建筑市场主体“黑名单”。加强道路扬尘综合整治。大力推进道路清扫保洁机械化作业，提高道路机械化清扫率，2020年底前，临翔区城市建成区达到70%以上，7县城达到60%以上。严格渣土运输车辆规范化管理，渣土运输车要密闭。</w:t>
                  </w:r>
                </w:p>
              </w:tc>
              <w:tc>
                <w:tcPr>
                  <w:tcW w:w="2283" w:type="dxa"/>
                  <w:vAlign w:val="center"/>
                </w:tcPr>
                <w:p>
                  <w:pPr>
                    <w:autoSpaceDE w:val="0"/>
                    <w:autoSpaceDN w:val="0"/>
                    <w:adjustRightInd w:val="0"/>
                    <w:snapToGrid w:val="0"/>
                    <w:rPr>
                      <w:rFonts w:ascii="Times New Roman" w:hAnsi="Times New Roman" w:eastAsia="宋体" w:cs="Times New Roman"/>
                      <w:szCs w:val="21"/>
                      <w:lang w:val="zh-CN" w:bidi="zh-CN"/>
                    </w:rPr>
                  </w:pPr>
                  <w:r>
                    <w:rPr>
                      <w:rFonts w:ascii="Times New Roman" w:hAnsi="Times New Roman" w:eastAsia="宋体" w:cs="Times New Roman"/>
                      <w:szCs w:val="21"/>
                      <w:lang w:val="zh-CN" w:bidi="zh-CN"/>
                    </w:rPr>
                    <w:t>本项目施工期严格控制扬尘。工地</w:t>
                  </w:r>
                  <w:r>
                    <w:rPr>
                      <w:rFonts w:ascii="Times New Roman" w:hAnsi="Times New Roman" w:eastAsia="宋体" w:cs="Times New Roman"/>
                      <w:szCs w:val="21"/>
                      <w:shd w:val="clear" w:color="auto" w:fill="FFFFFF"/>
                    </w:rPr>
                    <w:t>周边围挡、物料堆放覆盖、土方开挖湿法作业、路面硬化、出入车辆清洗、渣土车辆密闭运输。</w:t>
                  </w:r>
                </w:p>
              </w:tc>
              <w:tc>
                <w:tcPr>
                  <w:tcW w:w="604" w:type="dxa"/>
                  <w:vAlign w:val="center"/>
                </w:tcPr>
                <w:p>
                  <w:pPr>
                    <w:autoSpaceDE w:val="0"/>
                    <w:autoSpaceDN w:val="0"/>
                    <w:adjustRightInd w:val="0"/>
                    <w:snapToGrid w:val="0"/>
                    <w:jc w:val="center"/>
                    <w:rPr>
                      <w:rFonts w:ascii="Times New Roman" w:hAnsi="Times New Roman" w:eastAsia="宋体" w:cs="Times New Roman"/>
                      <w:szCs w:val="21"/>
                      <w:lang w:val="zh-CN" w:bidi="zh-CN"/>
                    </w:rPr>
                  </w:pPr>
                  <w:r>
                    <w:rPr>
                      <w:rFonts w:ascii="Times New Roman" w:hAnsi="Times New Roman" w:eastAsia="宋体" w:cs="Times New Roman"/>
                      <w:szCs w:val="21"/>
                      <w:lang w:val="zh-CN" w:bidi="zh-CN"/>
                    </w:rPr>
                    <w:t>符合</w:t>
                  </w:r>
                </w:p>
              </w:tc>
            </w:tr>
          </w:tbl>
          <w:p>
            <w:pPr>
              <w:pStyle w:val="25"/>
              <w:shd w:val="clear" w:color="auto" w:fill="FFFFFF"/>
              <w:adjustRightInd w:val="0"/>
              <w:snapToGrid w:val="0"/>
              <w:spacing w:before="0" w:beforeAutospacing="0" w:after="0" w:afterAutospacing="0" w:line="360" w:lineRule="auto"/>
              <w:ind w:firstLine="482" w:firstLineChars="200"/>
              <w:jc w:val="both"/>
              <w:rPr>
                <w:rFonts w:ascii="Times New Roman" w:hAnsi="Times New Roman" w:eastAsia="宋体" w:cs="Times New Roman"/>
                <w:b/>
                <w:bCs/>
              </w:rPr>
            </w:pPr>
          </w:p>
          <w:p>
            <w:pPr>
              <w:pStyle w:val="25"/>
              <w:shd w:val="clear" w:color="auto" w:fill="FFFFFF"/>
              <w:adjustRightInd w:val="0"/>
              <w:snapToGrid w:val="0"/>
              <w:spacing w:before="0" w:beforeAutospacing="0" w:after="0" w:afterAutospacing="0" w:line="360" w:lineRule="auto"/>
              <w:ind w:firstLine="482" w:firstLineChars="200"/>
              <w:jc w:val="both"/>
              <w:rPr>
                <w:rFonts w:ascii="Times New Roman" w:hAnsi="Times New Roman" w:eastAsia="宋体" w:cs="Times New Roman"/>
                <w:shd w:val="clear" w:color="auto" w:fill="FFFFFF"/>
              </w:rPr>
            </w:pPr>
            <w:r>
              <w:rPr>
                <w:rFonts w:ascii="Times New Roman" w:hAnsi="Times New Roman" w:eastAsia="宋体" w:cs="Times New Roman"/>
                <w:b/>
                <w:bCs/>
              </w:rPr>
              <w:t>8、与《临沧市“十四五”现代产业体系建设规划》符合性分析</w:t>
            </w:r>
          </w:p>
          <w:p>
            <w:pPr>
              <w:widowControl/>
              <w:adjustRightInd w:val="0"/>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表</w:t>
            </w:r>
            <w:r>
              <w:rPr>
                <w:rFonts w:ascii="Times New Roman" w:hAnsi="Times New Roman" w:eastAsia="宋体" w:cs="Times New Roman"/>
                <w:b/>
                <w:bCs/>
                <w:kern w:val="0"/>
                <w:szCs w:val="21"/>
                <w:lang w:bidi="ar"/>
              </w:rPr>
              <w:t>1-</w:t>
            </w:r>
            <w:r>
              <w:rPr>
                <w:rFonts w:hint="eastAsia" w:ascii="Times New Roman" w:hAnsi="Times New Roman" w:eastAsia="宋体" w:cs="Times New Roman"/>
                <w:b/>
                <w:bCs/>
                <w:kern w:val="0"/>
                <w:szCs w:val="21"/>
                <w:lang w:bidi="ar"/>
              </w:rPr>
              <w:t>7</w:t>
            </w:r>
            <w:r>
              <w:rPr>
                <w:rFonts w:ascii="Times New Roman" w:hAnsi="Times New Roman" w:eastAsia="宋体" w:cs="Times New Roman"/>
                <w:b/>
                <w:bCs/>
                <w:szCs w:val="21"/>
              </w:rPr>
              <w:t xml:space="preserve"> 与《临沧市“十四五”现代产业体系建设规划》符合性分析</w:t>
            </w:r>
          </w:p>
          <w:tbl>
            <w:tblPr>
              <w:tblStyle w:val="30"/>
              <w:tblW w:w="69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39"/>
              <w:gridCol w:w="2017"/>
              <w:gridCol w:w="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jc w:val="center"/>
              </w:trPr>
              <w:tc>
                <w:tcPr>
                  <w:tcW w:w="3027" w:type="pct"/>
                  <w:tcBorders>
                    <w:tl2br w:val="nil"/>
                    <w:tr2bl w:val="nil"/>
                  </w:tcBorders>
                  <w:vAlign w:val="center"/>
                </w:tcPr>
                <w:p>
                  <w:pPr>
                    <w:adjustRightInd w:val="0"/>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《临沧市“十四五”现代产业体系建设规划》</w:t>
                  </w:r>
                  <w:r>
                    <w:rPr>
                      <w:rFonts w:ascii="Times New Roman" w:hAnsi="Times New Roman" w:eastAsia="宋体" w:cs="Times New Roman"/>
                      <w:b/>
                      <w:bCs/>
                      <w:kern w:val="0"/>
                      <w:szCs w:val="21"/>
                      <w:lang w:bidi="ar"/>
                    </w:rPr>
                    <w:t>相关要求</w:t>
                  </w:r>
                </w:p>
              </w:tc>
              <w:tc>
                <w:tcPr>
                  <w:tcW w:w="1440" w:type="pct"/>
                  <w:tcBorders>
                    <w:tl2br w:val="nil"/>
                    <w:tr2bl w:val="nil"/>
                  </w:tcBorders>
                  <w:vAlign w:val="center"/>
                </w:tcPr>
                <w:p>
                  <w:pPr>
                    <w:adjustRightInd w:val="0"/>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拟建项目情况</w:t>
                  </w:r>
                </w:p>
              </w:tc>
              <w:tc>
                <w:tcPr>
                  <w:tcW w:w="531" w:type="pct"/>
                  <w:tcBorders>
                    <w:tl2br w:val="nil"/>
                    <w:tr2bl w:val="nil"/>
                  </w:tcBorders>
                  <w:vAlign w:val="center"/>
                </w:tcPr>
                <w:p>
                  <w:pPr>
                    <w:adjustRightInd w:val="0"/>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9" w:hRule="atLeast"/>
                <w:jc w:val="center"/>
              </w:trPr>
              <w:tc>
                <w:tcPr>
                  <w:tcW w:w="3027" w:type="pct"/>
                  <w:tcBorders>
                    <w:tl2br w:val="nil"/>
                    <w:tr2bl w:val="nil"/>
                  </w:tcBorders>
                  <w:vAlign w:val="center"/>
                </w:tcPr>
                <w:p>
                  <w:pPr>
                    <w:pStyle w:val="25"/>
                    <w:adjustRightInd w:val="0"/>
                    <w:snapToGrid w:val="0"/>
                    <w:spacing w:before="0" w:beforeAutospacing="0" w:after="0" w:afterAutospacing="0"/>
                    <w:ind w:firstLine="422" w:firstLineChars="200"/>
                    <w:jc w:val="both"/>
                    <w:rPr>
                      <w:rFonts w:ascii="Times New Roman" w:hAnsi="Times New Roman" w:eastAsia="宋体" w:cs="Times New Roman"/>
                      <w:b/>
                      <w:bCs/>
                      <w:sz w:val="21"/>
                      <w:szCs w:val="21"/>
                    </w:rPr>
                  </w:pPr>
                  <w:r>
                    <w:rPr>
                      <w:rFonts w:ascii="Times New Roman" w:hAnsi="Times New Roman" w:eastAsia="宋体" w:cs="Times New Roman"/>
                      <w:b/>
                      <w:bCs/>
                      <w:sz w:val="21"/>
                      <w:szCs w:val="21"/>
                    </w:rPr>
                    <w:t>二、建材产业</w:t>
                  </w:r>
                </w:p>
                <w:p>
                  <w:pPr>
                    <w:pStyle w:val="25"/>
                    <w:shd w:val="clear" w:color="auto" w:fill="FFFFFF"/>
                    <w:adjustRightInd w:val="0"/>
                    <w:snapToGrid w:val="0"/>
                    <w:spacing w:before="0" w:beforeAutospacing="0" w:after="0" w:afterAutospacing="0"/>
                    <w:ind w:firstLine="420" w:firstLineChars="200"/>
                    <w:jc w:val="both"/>
                    <w:rPr>
                      <w:rStyle w:val="32"/>
                      <w:rFonts w:ascii="Times New Roman" w:hAnsi="Times New Roman" w:eastAsia="宋体" w:cs="Times New Roman"/>
                      <w:b w:val="0"/>
                      <w:szCs w:val="21"/>
                      <w:shd w:val="clear" w:color="auto" w:fill="FFFFFF"/>
                    </w:rPr>
                  </w:pPr>
                  <w:r>
                    <w:rPr>
                      <w:rFonts w:ascii="Helvetica" w:hAnsi="Helvetica" w:eastAsia="Helvetica" w:cs="Helvetica"/>
                      <w:sz w:val="21"/>
                      <w:szCs w:val="21"/>
                      <w:shd w:val="clear" w:color="auto" w:fill="FFFFFF"/>
                    </w:rPr>
                    <w:t>以满足本市需求、辐射周边地区和缅甸市场、加快推动出口为原则，调整优化产业结构，促进行业内优势企业跨地区整合过剩产能。坚持等量或减量置换，将水泥熟料控制在400万吨左右。支持水泥产业创新发展，鼓励生产和使用高标号水泥、纯熟料水泥、专用水泥和特种水泥。利用市场机制和经济杠杆倒逼企业增强技术创新，推动企业转型和产业升级，提升市场竞争力。鼓励和支持发展预拌混凝土，规范商品混凝土市场，大力推广使用商品混凝土，提高建材产业支撑能力。积极推广应用新型墙体材料，重点发展混凝土砖、蒸压</w:t>
                  </w:r>
                  <w:r>
                    <w:rPr>
                      <w:rFonts w:hint="eastAsia" w:ascii="Helvetica" w:hAnsi="Helvetica" w:eastAsia="宋体" w:cs="Helvetica"/>
                      <w:sz w:val="21"/>
                      <w:szCs w:val="21"/>
                      <w:shd w:val="clear" w:color="auto" w:fill="FFFFFF"/>
                    </w:rPr>
                    <w:t>加气混凝土砌块</w:t>
                  </w:r>
                  <w:r>
                    <w:rPr>
                      <w:rFonts w:ascii="Helvetica" w:hAnsi="Helvetica" w:eastAsia="Helvetica" w:cs="Helvetica"/>
                      <w:sz w:val="21"/>
                      <w:szCs w:val="21"/>
                      <w:shd w:val="clear" w:color="auto" w:fill="FFFFFF"/>
                    </w:rPr>
                    <w:t>、高性能节能墙体材料等新型墙材。到2025年，建材产业总产值达到50亿元。</w:t>
                  </w:r>
                </w:p>
              </w:tc>
              <w:tc>
                <w:tcPr>
                  <w:tcW w:w="1440" w:type="pct"/>
                  <w:tcBorders>
                    <w:tl2br w:val="nil"/>
                    <w:tr2bl w:val="nil"/>
                  </w:tcBorders>
                  <w:vAlign w:val="center"/>
                </w:tcPr>
                <w:p>
                  <w:pPr>
                    <w:pStyle w:val="2"/>
                    <w:keepNext w:val="0"/>
                    <w:keepLines w:val="0"/>
                    <w:widowControl/>
                    <w:shd w:val="clear" w:color="auto" w:fill="FFFFFF"/>
                    <w:adjustRightInd w:val="0"/>
                    <w:snapToGrid w:val="0"/>
                    <w:spacing w:before="0" w:after="0" w:line="240" w:lineRule="auto"/>
                    <w:outlineLvl w:val="0"/>
                    <w:rPr>
                      <w:rFonts w:ascii="Times New Roman" w:hAnsi="Times New Roman" w:eastAsia="宋体" w:cs="Times New Roman"/>
                      <w:b w:val="0"/>
                      <w:sz w:val="21"/>
                      <w:szCs w:val="21"/>
                    </w:rPr>
                  </w:pPr>
                  <w:bookmarkStart w:id="268" w:name="_Toc17118"/>
                  <w:bookmarkStart w:id="269" w:name="_Toc32426"/>
                  <w:r>
                    <w:rPr>
                      <w:rFonts w:ascii="Times New Roman" w:hAnsi="Times New Roman" w:eastAsia="宋体" w:cs="Times New Roman"/>
                      <w:b w:val="0"/>
                      <w:sz w:val="21"/>
                      <w:szCs w:val="21"/>
                    </w:rPr>
                    <w:t>本项目</w:t>
                  </w:r>
                  <w:r>
                    <w:rPr>
                      <w:rFonts w:hint="eastAsia" w:ascii="Times New Roman" w:hAnsi="Times New Roman" w:eastAsia="宋体" w:cs="Times New Roman"/>
                      <w:b w:val="0"/>
                      <w:sz w:val="21"/>
                      <w:szCs w:val="21"/>
                    </w:rPr>
                    <w:t>利用其他矿山废石及高速公路建设产生的废石作为原料进行生产，资源化利用，能为当地建材市场做出相应贡献，提高建材产业支撑能力</w:t>
                  </w:r>
                  <w:r>
                    <w:rPr>
                      <w:rFonts w:ascii="Times New Roman" w:hAnsi="Times New Roman" w:eastAsia="宋体" w:cs="Times New Roman"/>
                      <w:b w:val="0"/>
                      <w:sz w:val="21"/>
                      <w:szCs w:val="21"/>
                    </w:rPr>
                    <w:t>。</w:t>
                  </w:r>
                  <w:bookmarkEnd w:id="268"/>
                  <w:bookmarkEnd w:id="269"/>
                </w:p>
              </w:tc>
              <w:tc>
                <w:tcPr>
                  <w:tcW w:w="531" w:type="pct"/>
                  <w:tcBorders>
                    <w:tl2br w:val="nil"/>
                    <w:tr2bl w:val="nil"/>
                  </w:tcBorders>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符合</w:t>
                  </w:r>
                </w:p>
              </w:tc>
            </w:tr>
          </w:tbl>
          <w:p>
            <w:pPr>
              <w:pStyle w:val="11"/>
              <w:adjustRightInd w:val="0"/>
              <w:snapToGrid w:val="0"/>
              <w:spacing w:line="360" w:lineRule="auto"/>
              <w:rPr>
                <w:rFonts w:ascii="Times New Roman" w:hAnsi="Times New Roman" w:eastAsia="宋体" w:cs="Times New Roman"/>
              </w:rPr>
            </w:pPr>
          </w:p>
          <w:p>
            <w:pPr>
              <w:spacing w:line="700" w:lineRule="exact"/>
              <w:ind w:firstLine="422" w:firstLineChars="200"/>
              <w:rPr>
                <w:rFonts w:ascii="Times New Roman" w:hAnsi="Times New Roman" w:eastAsia="宋体" w:cs="Times New Roman"/>
                <w:b/>
                <w:bCs/>
              </w:rPr>
            </w:pPr>
            <w:r>
              <w:rPr>
                <w:rFonts w:hint="eastAsia" w:ascii="Times New Roman" w:hAnsi="Times New Roman" w:eastAsia="宋体" w:cs="Times New Roman"/>
                <w:b/>
                <w:bCs/>
              </w:rPr>
              <w:t>9、与《中华人民共和国河道管理条例》符合性分析</w:t>
            </w:r>
          </w:p>
          <w:p>
            <w:pPr>
              <w:adjustRightInd w:val="0"/>
              <w:snapToGrid w:val="0"/>
              <w:spacing w:line="360" w:lineRule="auto"/>
              <w:ind w:firstLine="512" w:firstLineChars="200"/>
              <w:jc w:val="left"/>
              <w:rPr>
                <w:rFonts w:ascii="Times New Roman" w:hAnsi="Times New Roman" w:eastAsia="宋体" w:cs="Times New Roman"/>
                <w:spacing w:val="8"/>
                <w:sz w:val="24"/>
              </w:rPr>
            </w:pPr>
            <w:r>
              <w:rPr>
                <w:rFonts w:ascii="Times New Roman" w:hAnsi="Times New Roman" w:eastAsia="宋体" w:cs="Times New Roman"/>
                <w:spacing w:val="8"/>
                <w:sz w:val="24"/>
              </w:rPr>
              <w:t>根据《中华人民共和国河道管理条例》</w:t>
            </w:r>
            <w:r>
              <w:rPr>
                <w:rFonts w:hint="eastAsia" w:ascii="Times New Roman" w:hAnsi="Times New Roman" w:eastAsia="宋体" w:cs="Times New Roman"/>
                <w:spacing w:val="8"/>
                <w:sz w:val="24"/>
              </w:rPr>
              <w:t>（</w:t>
            </w:r>
            <w:r>
              <w:rPr>
                <w:rFonts w:ascii="Times New Roman" w:hAnsi="Times New Roman" w:eastAsia="宋体" w:cs="Times New Roman"/>
                <w:spacing w:val="8"/>
                <w:sz w:val="24"/>
              </w:rPr>
              <w:t>2018年3月19日《国务院关于修改和废止部分行政法规的决定》第四次修订</w:t>
            </w:r>
            <w:r>
              <w:rPr>
                <w:rFonts w:hint="eastAsia" w:ascii="Times New Roman" w:hAnsi="Times New Roman" w:eastAsia="宋体" w:cs="Times New Roman"/>
                <w:spacing w:val="8"/>
                <w:sz w:val="24"/>
              </w:rPr>
              <w:t>）</w:t>
            </w:r>
            <w:r>
              <w:rPr>
                <w:rFonts w:ascii="Times New Roman" w:hAnsi="Times New Roman" w:eastAsia="宋体" w:cs="Times New Roman"/>
                <w:spacing w:val="8"/>
                <w:sz w:val="24"/>
              </w:rPr>
              <w:t>规定</w:t>
            </w:r>
            <w:r>
              <w:rPr>
                <w:rFonts w:hint="eastAsia" w:ascii="Times New Roman" w:hAnsi="Times New Roman" w:eastAsia="宋体" w:cs="Times New Roman"/>
                <w:spacing w:val="8"/>
                <w:sz w:val="24"/>
              </w:rPr>
              <w:t>:“</w:t>
            </w:r>
            <w:r>
              <w:rPr>
                <w:rFonts w:ascii="Times New Roman" w:hAnsi="Times New Roman" w:eastAsia="宋体" w:cs="Times New Roman"/>
                <w:spacing w:val="8"/>
                <w:sz w:val="24"/>
              </w:rPr>
              <w:t>有堤防的河道，其管理范围为两岸堤防之间的水域、沙洲、滩地(包括可耕地)、行洪区，两岸堤防及护堤地。无堤防的河道，其管理范围根据历史最高洪水位或者设计洪水位确定</w:t>
            </w:r>
            <w:r>
              <w:rPr>
                <w:rFonts w:hint="eastAsia" w:ascii="Times New Roman" w:hAnsi="Times New Roman" w:eastAsia="宋体" w:cs="Times New Roman"/>
                <w:spacing w:val="8"/>
                <w:sz w:val="24"/>
              </w:rPr>
              <w:t>。</w:t>
            </w:r>
            <w:r>
              <w:rPr>
                <w:rFonts w:ascii="Times New Roman" w:hAnsi="Times New Roman" w:eastAsia="宋体" w:cs="Times New Roman"/>
                <w:spacing w:val="8"/>
                <w:sz w:val="24"/>
              </w:rPr>
              <w:t>河道的具体管理范围，由县级以上地方人民政府负责划定。</w:t>
            </w:r>
            <w:r>
              <w:rPr>
                <w:rFonts w:hint="eastAsia" w:ascii="Times New Roman" w:hAnsi="Times New Roman" w:eastAsia="宋体" w:cs="Times New Roman"/>
                <w:spacing w:val="8"/>
                <w:sz w:val="24"/>
              </w:rPr>
              <w:t>”</w:t>
            </w:r>
          </w:p>
          <w:p>
            <w:pPr>
              <w:adjustRightInd w:val="0"/>
              <w:snapToGrid w:val="0"/>
              <w:spacing w:line="360" w:lineRule="auto"/>
              <w:ind w:firstLine="512" w:firstLineChars="200"/>
              <w:jc w:val="left"/>
              <w:rPr>
                <w:rFonts w:ascii="Times New Roman" w:hAnsi="Times New Roman" w:eastAsia="宋体" w:cs="Times New Roman"/>
                <w:spacing w:val="8"/>
                <w:sz w:val="24"/>
              </w:rPr>
            </w:pPr>
            <w:r>
              <w:rPr>
                <w:rFonts w:hint="eastAsia" w:ascii="Times New Roman" w:hAnsi="Times New Roman" w:eastAsia="宋体" w:cs="Times New Roman"/>
                <w:spacing w:val="8"/>
                <w:sz w:val="24"/>
              </w:rPr>
              <w:t>根据“</w:t>
            </w:r>
            <w:r>
              <w:rPr>
                <w:rFonts w:ascii="Times New Roman" w:hAnsi="Times New Roman" w:eastAsia="宋体" w:cs="Times New Roman"/>
                <w:spacing w:val="8"/>
                <w:sz w:val="24"/>
              </w:rPr>
              <w:t>云县水务局关于《云县发展和改革局关于云县山河洗沙建设项目征求意见的函》的复函</w:t>
            </w:r>
            <w:r>
              <w:rPr>
                <w:rFonts w:hint="eastAsia" w:ascii="Times New Roman" w:hAnsi="Times New Roman" w:eastAsia="宋体" w:cs="Times New Roman"/>
                <w:spacing w:val="8"/>
                <w:sz w:val="24"/>
              </w:rPr>
              <w:t>中表明：“</w:t>
            </w:r>
            <w:r>
              <w:rPr>
                <w:rFonts w:ascii="Times New Roman" w:hAnsi="Times New Roman" w:eastAsia="宋体" w:cs="Times New Roman"/>
                <w:spacing w:val="8"/>
                <w:sz w:val="24"/>
              </w:rPr>
              <w:t>经核实，项目所选地块上部靠近河湾村委会吊树根，下部与北河相邻，从卫星地图上看没有占用河道管理范围(管理范围线从河堤排水沟起算向外量10米)</w:t>
            </w:r>
            <w:r>
              <w:rPr>
                <w:rFonts w:hint="eastAsia" w:ascii="Times New Roman" w:hAnsi="Times New Roman" w:eastAsia="宋体" w:cs="Times New Roman"/>
                <w:spacing w:val="8"/>
                <w:sz w:val="24"/>
              </w:rPr>
              <w:t>，</w:t>
            </w:r>
            <w:r>
              <w:rPr>
                <w:rFonts w:ascii="Times New Roman" w:hAnsi="Times New Roman" w:eastAsia="宋体" w:cs="Times New Roman"/>
                <w:spacing w:val="8"/>
                <w:sz w:val="24"/>
              </w:rPr>
              <w:t>因此原则同意向发改部门申请立项。</w:t>
            </w:r>
            <w:r>
              <w:rPr>
                <w:rFonts w:hint="eastAsia" w:ascii="Times New Roman" w:hAnsi="Times New Roman" w:eastAsia="宋体" w:cs="Times New Roman"/>
                <w:spacing w:val="8"/>
                <w:sz w:val="24"/>
              </w:rPr>
              <w:t>”</w:t>
            </w:r>
          </w:p>
          <w:p>
            <w:pPr>
              <w:adjustRightInd w:val="0"/>
              <w:snapToGrid w:val="0"/>
              <w:spacing w:line="360" w:lineRule="auto"/>
              <w:ind w:firstLine="512" w:firstLineChars="200"/>
              <w:jc w:val="left"/>
              <w:rPr>
                <w:rFonts w:ascii="Times New Roman" w:hAnsi="Times New Roman" w:eastAsia="宋体" w:cs="Times New Roman"/>
                <w:spacing w:val="8"/>
                <w:sz w:val="24"/>
              </w:rPr>
            </w:pPr>
            <w:r>
              <w:rPr>
                <w:rFonts w:hint="eastAsia" w:ascii="Times New Roman" w:hAnsi="Times New Roman" w:eastAsia="宋体" w:cs="Times New Roman"/>
                <w:spacing w:val="8"/>
                <w:sz w:val="24"/>
              </w:rPr>
              <w:t>综上，本项目建设符合</w:t>
            </w:r>
            <w:r>
              <w:rPr>
                <w:rFonts w:ascii="Times New Roman" w:hAnsi="Times New Roman" w:eastAsia="宋体" w:cs="Times New Roman"/>
                <w:spacing w:val="8"/>
                <w:sz w:val="24"/>
              </w:rPr>
              <w:t>《中华人民共和国河道管理条例》</w:t>
            </w:r>
            <w:r>
              <w:rPr>
                <w:rFonts w:hint="eastAsia" w:ascii="Times New Roman" w:hAnsi="Times New Roman" w:eastAsia="宋体" w:cs="Times New Roman"/>
                <w:spacing w:val="8"/>
                <w:sz w:val="24"/>
              </w:rPr>
              <w:t>。</w:t>
            </w:r>
          </w:p>
          <w:p>
            <w:pPr>
              <w:spacing w:line="700" w:lineRule="exact"/>
              <w:ind w:firstLine="422" w:firstLineChars="200"/>
              <w:rPr>
                <w:rFonts w:ascii="Times New Roman" w:hAnsi="Times New Roman" w:eastAsia="宋体" w:cs="Times New Roman"/>
                <w:b/>
                <w:bCs/>
              </w:rPr>
            </w:pPr>
            <w:r>
              <w:rPr>
                <w:rFonts w:hint="eastAsia" w:ascii="Times New Roman" w:hAnsi="Times New Roman" w:eastAsia="宋体" w:cs="Times New Roman"/>
                <w:b/>
                <w:bCs/>
              </w:rPr>
              <w:t>10、与《临沧市“十四五”生态环境保护规划》符合性分析</w:t>
            </w:r>
          </w:p>
          <w:p>
            <w:pPr>
              <w:widowControl/>
              <w:adjustRightInd w:val="0"/>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表</w:t>
            </w:r>
            <w:r>
              <w:rPr>
                <w:rFonts w:ascii="Times New Roman" w:hAnsi="Times New Roman" w:eastAsia="宋体" w:cs="Times New Roman"/>
                <w:b/>
                <w:bCs/>
                <w:kern w:val="0"/>
                <w:szCs w:val="21"/>
                <w:lang w:bidi="ar"/>
              </w:rPr>
              <w:t>1-</w:t>
            </w:r>
            <w:r>
              <w:rPr>
                <w:rFonts w:hint="eastAsia" w:ascii="Times New Roman" w:hAnsi="Times New Roman" w:eastAsia="宋体" w:cs="Times New Roman"/>
                <w:b/>
                <w:bCs/>
                <w:kern w:val="0"/>
                <w:szCs w:val="21"/>
                <w:lang w:bidi="ar"/>
              </w:rPr>
              <w:t>8</w:t>
            </w:r>
            <w:r>
              <w:rPr>
                <w:rFonts w:ascii="Times New Roman" w:hAnsi="Times New Roman" w:eastAsia="宋体" w:cs="Times New Roman"/>
                <w:b/>
                <w:bCs/>
                <w:szCs w:val="21"/>
              </w:rPr>
              <w:t xml:space="preserve"> 与《临沧市“十四五”生态环境保护规划》符合性分析</w:t>
            </w:r>
          </w:p>
          <w:tbl>
            <w:tblPr>
              <w:tblStyle w:val="30"/>
              <w:tblW w:w="69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39"/>
              <w:gridCol w:w="2017"/>
              <w:gridCol w:w="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jc w:val="center"/>
              </w:trPr>
              <w:tc>
                <w:tcPr>
                  <w:tcW w:w="3027" w:type="pct"/>
                  <w:tcBorders>
                    <w:tl2br w:val="nil"/>
                    <w:tr2bl w:val="nil"/>
                  </w:tcBorders>
                  <w:vAlign w:val="center"/>
                </w:tcPr>
                <w:p>
                  <w:pPr>
                    <w:adjustRightInd w:val="0"/>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《临沧市“十四五”生态环境保护规划》</w:t>
                  </w:r>
                  <w:r>
                    <w:rPr>
                      <w:rFonts w:ascii="Times New Roman" w:hAnsi="Times New Roman" w:eastAsia="宋体" w:cs="Times New Roman"/>
                      <w:b/>
                      <w:bCs/>
                      <w:kern w:val="0"/>
                      <w:szCs w:val="21"/>
                      <w:lang w:bidi="ar"/>
                    </w:rPr>
                    <w:t>相关要求</w:t>
                  </w:r>
                </w:p>
              </w:tc>
              <w:tc>
                <w:tcPr>
                  <w:tcW w:w="1440" w:type="pct"/>
                  <w:tcBorders>
                    <w:tl2br w:val="nil"/>
                    <w:tr2bl w:val="nil"/>
                  </w:tcBorders>
                  <w:vAlign w:val="center"/>
                </w:tcPr>
                <w:p>
                  <w:pPr>
                    <w:adjustRightInd w:val="0"/>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拟建项目情况</w:t>
                  </w:r>
                </w:p>
              </w:tc>
              <w:tc>
                <w:tcPr>
                  <w:tcW w:w="531" w:type="pct"/>
                  <w:tcBorders>
                    <w:tl2br w:val="nil"/>
                    <w:tr2bl w:val="nil"/>
                  </w:tcBorders>
                  <w:vAlign w:val="center"/>
                </w:tcPr>
                <w:p>
                  <w:pPr>
                    <w:adjustRightInd w:val="0"/>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9" w:hRule="atLeast"/>
                <w:jc w:val="center"/>
              </w:trPr>
              <w:tc>
                <w:tcPr>
                  <w:tcW w:w="3027" w:type="pct"/>
                  <w:tcBorders>
                    <w:tl2br w:val="nil"/>
                    <w:tr2bl w:val="nil"/>
                  </w:tcBorders>
                  <w:vAlign w:val="center"/>
                </w:tcPr>
                <w:p>
                  <w:pPr>
                    <w:pStyle w:val="25"/>
                    <w:adjustRightInd w:val="0"/>
                    <w:snapToGrid w:val="0"/>
                    <w:spacing w:before="0" w:beforeAutospacing="0" w:after="0" w:afterAutospacing="0"/>
                    <w:ind w:firstLine="422" w:firstLineChars="200"/>
                    <w:jc w:val="both"/>
                    <w:rPr>
                      <w:rFonts w:ascii="Times New Roman" w:hAnsi="Times New Roman" w:eastAsia="宋体" w:cs="Times New Roman"/>
                      <w:b/>
                      <w:bCs/>
                      <w:sz w:val="21"/>
                      <w:szCs w:val="21"/>
                    </w:rPr>
                  </w:pPr>
                  <w:r>
                    <w:rPr>
                      <w:rFonts w:ascii="Times New Roman" w:hAnsi="Times New Roman" w:eastAsia="宋体" w:cs="Times New Roman"/>
                      <w:b/>
                      <w:bCs/>
                      <w:sz w:val="21"/>
                      <w:szCs w:val="21"/>
                    </w:rPr>
                    <w:t>第四章  深化“三水”统筹，全面改善水生态环境质量</w:t>
                  </w:r>
                </w:p>
                <w:p>
                  <w:pPr>
                    <w:pStyle w:val="25"/>
                    <w:shd w:val="clear" w:color="auto" w:fill="FFFFFF"/>
                    <w:adjustRightInd w:val="0"/>
                    <w:snapToGrid w:val="0"/>
                    <w:spacing w:before="0" w:beforeAutospacing="0" w:after="0" w:afterAutospacing="0"/>
                    <w:ind w:firstLine="420" w:firstLineChars="200"/>
                    <w:jc w:val="both"/>
                    <w:rPr>
                      <w:rFonts w:ascii="Helvetica" w:hAnsi="Helvetica" w:eastAsia="Helvetica" w:cs="Helvetica"/>
                      <w:b/>
                      <w:bCs/>
                      <w:sz w:val="21"/>
                      <w:szCs w:val="21"/>
                      <w:shd w:val="clear" w:color="auto" w:fill="FFFFFF"/>
                    </w:rPr>
                  </w:pPr>
                  <w:r>
                    <w:rPr>
                      <w:rFonts w:hint="eastAsia" w:ascii="Helvetica" w:hAnsi="Helvetica" w:eastAsia="Helvetica" w:cs="Helvetica"/>
                      <w:b/>
                      <w:bCs/>
                      <w:sz w:val="21"/>
                      <w:szCs w:val="21"/>
                      <w:shd w:val="clear" w:color="auto" w:fill="FFFFFF"/>
                    </w:rPr>
                    <w:t>第一节  加强水资源、水环境、水生态系统治理</w:t>
                  </w:r>
                </w:p>
                <w:p>
                  <w:pPr>
                    <w:pStyle w:val="25"/>
                    <w:shd w:val="clear" w:color="auto" w:fill="FFFFFF"/>
                    <w:adjustRightInd w:val="0"/>
                    <w:snapToGrid w:val="0"/>
                    <w:spacing w:before="0" w:beforeAutospacing="0" w:after="0" w:afterAutospacing="0"/>
                    <w:ind w:firstLine="420" w:firstLineChars="200"/>
                    <w:jc w:val="both"/>
                    <w:rPr>
                      <w:rStyle w:val="32"/>
                      <w:rFonts w:ascii="Times New Roman" w:hAnsi="Times New Roman" w:eastAsia="宋体" w:cs="Times New Roman"/>
                      <w:b w:val="0"/>
                      <w:szCs w:val="21"/>
                      <w:shd w:val="clear" w:color="auto" w:fill="FFFFFF"/>
                    </w:rPr>
                  </w:pPr>
                  <w:r>
                    <w:rPr>
                      <w:rStyle w:val="79"/>
                      <w:rFonts w:hint="default"/>
                      <w:b w:val="0"/>
                      <w:sz w:val="21"/>
                      <w:szCs w:val="21"/>
                    </w:rPr>
                    <w:t>强化“三水”统筹管理。</w:t>
                  </w:r>
                  <w:r>
                    <w:rPr>
                      <w:rFonts w:ascii="Times New Roman" w:cs="Times New Roman"/>
                      <w:sz w:val="21"/>
                      <w:szCs w:val="21"/>
                    </w:rPr>
                    <w:t>强化用水强度约束，加强用水效率控制红线管理，健全市、县（区）行政区域用水总量、用水强度控制指标体系。强化用水定额管理，实施差别化管控措施，加快落实主要领域用水指标考核。</w:t>
                  </w:r>
                </w:p>
              </w:tc>
              <w:tc>
                <w:tcPr>
                  <w:tcW w:w="1440" w:type="pct"/>
                  <w:tcBorders>
                    <w:tl2br w:val="nil"/>
                    <w:tr2bl w:val="nil"/>
                  </w:tcBorders>
                  <w:vAlign w:val="center"/>
                </w:tcPr>
                <w:p>
                  <w:pPr>
                    <w:pStyle w:val="2"/>
                    <w:keepNext w:val="0"/>
                    <w:keepLines w:val="0"/>
                    <w:widowControl/>
                    <w:shd w:val="clear" w:color="auto" w:fill="FFFFFF"/>
                    <w:adjustRightInd w:val="0"/>
                    <w:snapToGrid w:val="0"/>
                    <w:spacing w:before="0" w:after="0" w:line="240" w:lineRule="auto"/>
                    <w:outlineLvl w:val="0"/>
                    <w:rPr>
                      <w:rFonts w:ascii="Times New Roman" w:hAnsi="Times New Roman" w:eastAsia="宋体" w:cs="Times New Roman"/>
                      <w:b w:val="0"/>
                      <w:sz w:val="21"/>
                      <w:szCs w:val="21"/>
                    </w:rPr>
                  </w:pPr>
                  <w:bookmarkStart w:id="270" w:name="_Toc5401"/>
                  <w:r>
                    <w:rPr>
                      <w:rFonts w:ascii="Times New Roman" w:hAnsi="Times New Roman" w:eastAsia="宋体" w:cs="Times New Roman"/>
                      <w:b w:val="0"/>
                      <w:kern w:val="2"/>
                      <w:sz w:val="21"/>
                      <w:szCs w:val="21"/>
                    </w:rPr>
                    <w:t>本项目为</w:t>
                  </w:r>
                  <w:r>
                    <w:rPr>
                      <w:rFonts w:hint="eastAsia" w:ascii="Times New Roman" w:hAnsi="Times New Roman" w:eastAsia="宋体" w:cs="Times New Roman"/>
                      <w:b w:val="0"/>
                      <w:kern w:val="2"/>
                      <w:sz w:val="21"/>
                      <w:szCs w:val="21"/>
                    </w:rPr>
                    <w:t>沙、石加工项目</w:t>
                  </w:r>
                  <w:r>
                    <w:rPr>
                      <w:rFonts w:ascii="Times New Roman" w:hAnsi="Times New Roman" w:eastAsia="宋体" w:cs="Times New Roman"/>
                      <w:b w:val="0"/>
                      <w:kern w:val="2"/>
                      <w:sz w:val="21"/>
                      <w:szCs w:val="21"/>
                    </w:rPr>
                    <w:t>，生产废水经过处理后回用，不外排</w:t>
                  </w:r>
                  <w:r>
                    <w:rPr>
                      <w:rFonts w:hint="eastAsia" w:ascii="Times New Roman" w:hAnsi="Times New Roman" w:eastAsia="宋体" w:cs="Times New Roman"/>
                      <w:b w:val="0"/>
                      <w:kern w:val="2"/>
                      <w:sz w:val="21"/>
                      <w:szCs w:val="21"/>
                    </w:rPr>
                    <w:t>，废水回用率100%</w:t>
                  </w:r>
                  <w:r>
                    <w:rPr>
                      <w:rFonts w:ascii="Times New Roman" w:hAnsi="Times New Roman" w:eastAsia="宋体" w:cs="Times New Roman"/>
                      <w:b w:val="0"/>
                      <w:kern w:val="2"/>
                      <w:sz w:val="21"/>
                      <w:szCs w:val="21"/>
                    </w:rPr>
                    <w:t>。</w:t>
                  </w:r>
                  <w:bookmarkEnd w:id="270"/>
                </w:p>
              </w:tc>
              <w:tc>
                <w:tcPr>
                  <w:tcW w:w="531" w:type="pct"/>
                  <w:tcBorders>
                    <w:tl2br w:val="nil"/>
                    <w:tr2bl w:val="nil"/>
                  </w:tcBorders>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jc w:val="center"/>
              </w:trPr>
              <w:tc>
                <w:tcPr>
                  <w:tcW w:w="3027" w:type="pct"/>
                  <w:tcBorders>
                    <w:tl2br w:val="nil"/>
                    <w:tr2bl w:val="nil"/>
                  </w:tcBorders>
                  <w:vAlign w:val="center"/>
                </w:tcPr>
                <w:p>
                  <w:pPr>
                    <w:pStyle w:val="25"/>
                    <w:shd w:val="clear" w:color="auto" w:fill="FFFFFF"/>
                    <w:adjustRightInd w:val="0"/>
                    <w:snapToGrid w:val="0"/>
                    <w:spacing w:before="0" w:beforeAutospacing="0" w:after="0" w:afterAutospacing="0"/>
                    <w:ind w:firstLine="422" w:firstLineChars="200"/>
                    <w:jc w:val="both"/>
                    <w:rPr>
                      <w:rFonts w:ascii="Times New Roman" w:hAnsi="Times New Roman"/>
                      <w:b/>
                      <w:bCs/>
                      <w:sz w:val="21"/>
                      <w:szCs w:val="21"/>
                    </w:rPr>
                  </w:pPr>
                  <w:bookmarkStart w:id="271" w:name="_Toc14608"/>
                  <w:bookmarkStart w:id="272" w:name="_Toc24293"/>
                  <w:bookmarkStart w:id="273" w:name="_Toc13394"/>
                  <w:bookmarkStart w:id="274" w:name="_Toc53255783"/>
                  <w:bookmarkStart w:id="275" w:name="_Toc5403"/>
                  <w:bookmarkStart w:id="276" w:name="_Toc14981"/>
                  <w:bookmarkStart w:id="277" w:name="_Toc653411278"/>
                  <w:bookmarkStart w:id="278" w:name="_Toc2078773259"/>
                  <w:bookmarkStart w:id="279" w:name="_Toc1553936210"/>
                  <w:r>
                    <w:rPr>
                      <w:rFonts w:ascii="Times New Roman" w:hAnsi="Times New Roman"/>
                      <w:b/>
                      <w:bCs/>
                      <w:sz w:val="21"/>
                      <w:szCs w:val="21"/>
                    </w:rPr>
                    <w:fldChar w:fldCharType="begin"/>
                  </w:r>
                  <w:r>
                    <w:rPr>
                      <w:rFonts w:ascii="Times New Roman" w:hAnsi="Times New Roman"/>
                      <w:b/>
                      <w:bCs/>
                      <w:sz w:val="21"/>
                      <w:szCs w:val="21"/>
                    </w:rPr>
                    <w:instrText xml:space="preserve">HYPERLINK "G:\\</w:instrText>
                  </w:r>
                  <w:r>
                    <w:rPr>
                      <w:rFonts w:ascii="Times New Roman"/>
                      <w:b/>
                      <w:bCs/>
                      <w:sz w:val="21"/>
                      <w:szCs w:val="21"/>
                    </w:rPr>
                    <w:instrText xml:space="preserve">临沧十四五环保规划</w:instrText>
                  </w:r>
                  <w:r>
                    <w:rPr>
                      <w:rFonts w:ascii="Times New Roman" w:hAnsi="Times New Roman"/>
                      <w:b/>
                      <w:bCs/>
                      <w:sz w:val="21"/>
                      <w:szCs w:val="21"/>
                    </w:rPr>
                    <w:instrText xml:space="preserve">\\</w:instrText>
                  </w:r>
                  <w:r>
                    <w:rPr>
                      <w:rFonts w:ascii="Times New Roman"/>
                      <w:b/>
                      <w:bCs/>
                      <w:sz w:val="21"/>
                      <w:szCs w:val="21"/>
                    </w:rPr>
                    <w:instrText xml:space="preserve">十四五规划文本修改稿</w:instrText>
                  </w:r>
                  <w:r>
                    <w:rPr>
                      <w:rFonts w:ascii="Times New Roman" w:hAnsi="Times New Roman"/>
                      <w:b/>
                      <w:bCs/>
                      <w:sz w:val="21"/>
                      <w:szCs w:val="21"/>
                    </w:rPr>
                    <w:instrText xml:space="preserve">\\08.12\\_Toc30089_WPSOffice_Level2"</w:instrText>
                  </w:r>
                  <w:r>
                    <w:rPr>
                      <w:rFonts w:ascii="Times New Roman" w:hAnsi="Times New Roman"/>
                      <w:b/>
                      <w:bCs/>
                      <w:sz w:val="21"/>
                      <w:szCs w:val="21"/>
                    </w:rPr>
                    <w:fldChar w:fldCharType="separate"/>
                  </w:r>
                  <w:bookmarkStart w:id="280" w:name="_Toc88583057"/>
                  <w:bookmarkStart w:id="281" w:name="_Toc87343447"/>
                  <w:bookmarkStart w:id="282" w:name="_Toc88472615"/>
                  <w:bookmarkStart w:id="283" w:name="_Toc111450311"/>
                  <w:bookmarkStart w:id="284" w:name="_Toc80346326"/>
                  <w:bookmarkStart w:id="285" w:name="_Toc111030075"/>
                  <w:bookmarkStart w:id="286" w:name="_Toc80026301"/>
                  <w:r>
                    <w:rPr>
                      <w:rFonts w:ascii="Times New Roman"/>
                      <w:b/>
                      <w:bCs/>
                      <w:sz w:val="21"/>
                      <w:szCs w:val="21"/>
                    </w:rPr>
                    <w:t>第五节</w:t>
                  </w:r>
                  <w:r>
                    <w:rPr>
                      <w:rFonts w:ascii="Times New Roman" w:hAnsi="Times New Roman"/>
                      <w:b/>
                      <w:bCs/>
                      <w:sz w:val="21"/>
                      <w:szCs w:val="21"/>
                    </w:rPr>
                    <w:t xml:space="preserve">  </w:t>
                  </w:r>
                  <w:r>
                    <w:rPr>
                      <w:rFonts w:ascii="Times New Roman"/>
                      <w:b/>
                      <w:bCs/>
                      <w:sz w:val="21"/>
                      <w:szCs w:val="21"/>
                    </w:rPr>
                    <w:t>积极推动水生态恢复</w:t>
                  </w:r>
                  <w:bookmarkEnd w:id="280"/>
                  <w:bookmarkEnd w:id="281"/>
                  <w:bookmarkEnd w:id="282"/>
                  <w:bookmarkEnd w:id="283"/>
                  <w:bookmarkEnd w:id="284"/>
                  <w:bookmarkEnd w:id="285"/>
                  <w:bookmarkEnd w:id="286"/>
                  <w:r>
                    <w:rPr>
                      <w:rFonts w:ascii="Times New Roman" w:hAnsi="Times New Roman"/>
                      <w:b/>
                      <w:bCs/>
                      <w:sz w:val="21"/>
                      <w:szCs w:val="21"/>
                    </w:rPr>
                    <w:fldChar w:fldCharType="end"/>
                  </w:r>
                  <w:bookmarkEnd w:id="271"/>
                  <w:bookmarkEnd w:id="272"/>
                  <w:bookmarkEnd w:id="273"/>
                  <w:bookmarkEnd w:id="274"/>
                  <w:bookmarkEnd w:id="275"/>
                  <w:bookmarkEnd w:id="276"/>
                  <w:bookmarkEnd w:id="277"/>
                  <w:bookmarkEnd w:id="278"/>
                  <w:bookmarkEnd w:id="279"/>
                </w:p>
                <w:p>
                  <w:pPr>
                    <w:pStyle w:val="25"/>
                    <w:shd w:val="clear" w:color="auto" w:fill="FFFFFF"/>
                    <w:adjustRightInd w:val="0"/>
                    <w:snapToGrid w:val="0"/>
                    <w:spacing w:before="0" w:beforeAutospacing="0" w:after="0" w:afterAutospacing="0"/>
                    <w:ind w:firstLine="412" w:firstLineChars="200"/>
                    <w:jc w:val="both"/>
                    <w:rPr>
                      <w:rFonts w:ascii="Times New Roman" w:hAnsi="Times New Roman"/>
                      <w:sz w:val="21"/>
                      <w:szCs w:val="21"/>
                    </w:rPr>
                  </w:pPr>
                  <w:r>
                    <w:rPr>
                      <w:rStyle w:val="79"/>
                      <w:rFonts w:hint="default"/>
                      <w:b w:val="0"/>
                      <w:bCs/>
                      <w:spacing w:val="-2"/>
                      <w:sz w:val="21"/>
                      <w:szCs w:val="21"/>
                    </w:rPr>
                    <w:t>加强河湖生态保护修复。</w:t>
                  </w:r>
                  <w:r>
                    <w:rPr>
                      <w:rFonts w:ascii="Times New Roman" w:cs="Times New Roman"/>
                      <w:spacing w:val="-2"/>
                      <w:sz w:val="21"/>
                      <w:szCs w:val="21"/>
                    </w:rPr>
                    <w:t>合理确定河湖生态缓冲带范围及管控要求，强化岸线用途管制，对不符合水源涵养、水域、河湖缓冲带等保护要求的人类活动进行整治。</w:t>
                  </w:r>
                </w:p>
              </w:tc>
              <w:tc>
                <w:tcPr>
                  <w:tcW w:w="1440" w:type="pct"/>
                  <w:tcBorders>
                    <w:tl2br w:val="nil"/>
                    <w:tr2bl w:val="nil"/>
                  </w:tcBorders>
                  <w:vAlign w:val="center"/>
                </w:tcPr>
                <w:p>
                  <w:pPr>
                    <w:pStyle w:val="2"/>
                    <w:keepNext w:val="0"/>
                    <w:keepLines w:val="0"/>
                    <w:widowControl/>
                    <w:shd w:val="clear" w:color="auto" w:fill="FFFFFF"/>
                    <w:adjustRightInd w:val="0"/>
                    <w:snapToGrid w:val="0"/>
                    <w:spacing w:before="0" w:after="0" w:line="240" w:lineRule="auto"/>
                    <w:outlineLvl w:val="0"/>
                    <w:rPr>
                      <w:rFonts w:ascii="Times New Roman" w:hAnsi="Times New Roman" w:eastAsia="宋体" w:cs="Times New Roman"/>
                      <w:b w:val="0"/>
                      <w:sz w:val="21"/>
                      <w:szCs w:val="21"/>
                    </w:rPr>
                  </w:pPr>
                  <w:bookmarkStart w:id="287" w:name="_Toc5066"/>
                  <w:r>
                    <w:rPr>
                      <w:rFonts w:hint="eastAsia" w:ascii="Times New Roman" w:hAnsi="Times New Roman" w:eastAsia="宋体" w:cs="Times New Roman"/>
                      <w:b w:val="0"/>
                      <w:sz w:val="21"/>
                      <w:szCs w:val="21"/>
                    </w:rPr>
                    <w:t>本项目不在北桥河管控范围内，废水不外排，对水环境质量影响较小。</w:t>
                  </w:r>
                  <w:bookmarkEnd w:id="287"/>
                </w:p>
              </w:tc>
              <w:tc>
                <w:tcPr>
                  <w:tcW w:w="531" w:type="pct"/>
                  <w:tcBorders>
                    <w:tl2br w:val="nil"/>
                    <w:tr2bl w:val="nil"/>
                  </w:tcBorders>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符合</w:t>
                  </w:r>
                </w:p>
              </w:tc>
            </w:tr>
          </w:tbl>
          <w:p>
            <w:pPr>
              <w:pStyle w:val="11"/>
              <w:adjustRightInd w:val="0"/>
              <w:snapToGrid w:val="0"/>
              <w:spacing w:line="360" w:lineRule="auto"/>
              <w:rPr>
                <w:rFonts w:ascii="Times New Roman" w:hAnsi="Times New Roman" w:eastAsia="宋体" w:cs="Times New Roman"/>
              </w:rPr>
            </w:pPr>
          </w:p>
          <w:p>
            <w:pPr>
              <w:pStyle w:val="11"/>
              <w:adjustRightInd w:val="0"/>
              <w:snapToGrid w:val="0"/>
              <w:spacing w:line="360" w:lineRule="auto"/>
              <w:rPr>
                <w:rFonts w:ascii="Times New Roman" w:hAnsi="Times New Roman" w:eastAsia="宋体" w:cs="Times New Roman"/>
              </w:rPr>
            </w:pPr>
          </w:p>
          <w:p>
            <w:pPr>
              <w:pStyle w:val="11"/>
              <w:adjustRightInd w:val="0"/>
              <w:snapToGrid w:val="0"/>
              <w:spacing w:line="360" w:lineRule="auto"/>
              <w:rPr>
                <w:rFonts w:ascii="Times New Roman" w:hAnsi="Times New Roman" w:eastAsia="宋体" w:cs="Times New Roman"/>
              </w:rPr>
            </w:pPr>
          </w:p>
          <w:p>
            <w:pPr>
              <w:pStyle w:val="11"/>
              <w:adjustRightInd w:val="0"/>
              <w:snapToGrid w:val="0"/>
              <w:spacing w:line="360" w:lineRule="auto"/>
              <w:rPr>
                <w:rFonts w:ascii="Times New Roman" w:hAnsi="Times New Roman" w:eastAsia="宋体" w:cs="Times New Roman"/>
              </w:rPr>
            </w:pPr>
          </w:p>
          <w:p>
            <w:pPr>
              <w:pStyle w:val="11"/>
              <w:adjustRightInd w:val="0"/>
              <w:snapToGrid w:val="0"/>
              <w:spacing w:line="360" w:lineRule="auto"/>
              <w:rPr>
                <w:rFonts w:ascii="Times New Roman" w:hAnsi="Times New Roman" w:eastAsia="宋体" w:cs="Times New Roman"/>
              </w:rPr>
            </w:pPr>
          </w:p>
          <w:p>
            <w:pPr>
              <w:pStyle w:val="11"/>
              <w:adjustRightInd w:val="0"/>
              <w:snapToGrid w:val="0"/>
              <w:spacing w:line="360" w:lineRule="auto"/>
              <w:rPr>
                <w:rFonts w:ascii="Times New Roman" w:hAnsi="Times New Roman" w:eastAsia="宋体" w:cs="Times New Roman"/>
              </w:rPr>
            </w:pPr>
          </w:p>
        </w:tc>
      </w:tr>
    </w:tbl>
    <w:p>
      <w:pPr>
        <w:spacing w:line="360" w:lineRule="auto"/>
        <w:rPr>
          <w:rFonts w:ascii="Times New Roman" w:hAnsi="Times New Roman" w:eastAsia="宋体" w:cs="Times New Roman"/>
          <w:sz w:val="24"/>
        </w:rPr>
        <w:sectPr>
          <w:footerReference r:id="rId3" w:type="default"/>
          <w:pgSz w:w="11906" w:h="16838"/>
          <w:pgMar w:top="1440" w:right="1800" w:bottom="1440" w:left="1800" w:header="851" w:footer="992" w:gutter="0"/>
          <w:pgNumType w:start="1"/>
          <w:cols w:space="425" w:num="1"/>
          <w:docGrid w:type="lines" w:linePitch="312" w:charSpace="0"/>
        </w:sectPr>
      </w:pPr>
    </w:p>
    <w:p>
      <w:pPr>
        <w:pStyle w:val="2"/>
        <w:adjustRightInd w:val="0"/>
        <w:snapToGrid w:val="0"/>
        <w:spacing w:before="0" w:after="0" w:line="240" w:lineRule="auto"/>
        <w:jc w:val="center"/>
        <w:rPr>
          <w:rFonts w:ascii="Times New Roman" w:hAnsi="Times New Roman" w:eastAsia="宋体" w:cs="Times New Roman"/>
        </w:rPr>
      </w:pPr>
      <w:bookmarkStart w:id="288" w:name="_Toc24235"/>
      <w:r>
        <w:rPr>
          <w:rFonts w:ascii="Times New Roman" w:hAnsi="Times New Roman" w:eastAsia="宋体" w:cs="Times New Roman"/>
        </w:rPr>
        <w:t>二、建设项目工程分析</w:t>
      </w:r>
      <w:bookmarkEnd w:id="288"/>
    </w:p>
    <w:tbl>
      <w:tblPr>
        <w:tblStyle w:val="30"/>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8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1" w:hRule="atLeast"/>
          <w:jc w:val="center"/>
        </w:trPr>
        <w:tc>
          <w:tcPr>
            <w:tcW w:w="268" w:type="pct"/>
            <w:vAlign w:val="center"/>
          </w:tcPr>
          <w:p>
            <w:pPr>
              <w:spacing w:line="360" w:lineRule="auto"/>
              <w:jc w:val="center"/>
              <w:rPr>
                <w:rFonts w:ascii="Times New Roman" w:hAnsi="Times New Roman" w:eastAsia="宋体" w:cs="Times New Roman"/>
                <w:kern w:val="0"/>
                <w:sz w:val="22"/>
                <w:szCs w:val="22"/>
                <w:lang w:bidi="ar"/>
              </w:rPr>
            </w:pPr>
            <w:r>
              <w:rPr>
                <w:rFonts w:ascii="Times New Roman" w:hAnsi="Times New Roman" w:eastAsia="宋体" w:cs="Times New Roman"/>
                <w:sz w:val="24"/>
              </w:rPr>
              <w:t>建设内容</w:t>
            </w:r>
          </w:p>
        </w:tc>
        <w:tc>
          <w:tcPr>
            <w:tcW w:w="4731" w:type="pct"/>
          </w:tcPr>
          <w:p>
            <w:pPr>
              <w:adjustRightInd w:val="0"/>
              <w:snapToGrid w:val="0"/>
              <w:spacing w:line="360" w:lineRule="auto"/>
              <w:ind w:firstLine="482" w:firstLineChars="200"/>
              <w:rPr>
                <w:rFonts w:ascii="Times New Roman" w:hAnsi="Times New Roman" w:eastAsia="宋体" w:cs="Times New Roman"/>
                <w:b/>
                <w:bCs/>
                <w:sz w:val="24"/>
              </w:rPr>
            </w:pPr>
            <w:r>
              <w:rPr>
                <w:rFonts w:ascii="Times New Roman" w:hAnsi="Times New Roman" w:eastAsia="宋体" w:cs="Times New Roman"/>
                <w:b/>
                <w:bCs/>
                <w:sz w:val="24"/>
              </w:rPr>
              <w:t>1、工程概况</w:t>
            </w:r>
          </w:p>
          <w:p>
            <w:pPr>
              <w:spacing w:line="360" w:lineRule="auto"/>
              <w:ind w:firstLine="480" w:firstLineChars="200"/>
            </w:pPr>
            <w:r>
              <w:rPr>
                <w:rFonts w:hint="eastAsia" w:ascii="Times New Roman" w:hAnsi="Times New Roman" w:eastAsia="宋体" w:cs="Times New Roman"/>
                <w:sz w:val="24"/>
              </w:rPr>
              <w:t>项目由来：</w:t>
            </w:r>
            <w:r>
              <w:rPr>
                <w:rFonts w:ascii="Times New Roman" w:hAnsi="Times New Roman" w:eastAsia="宋体" w:cs="Times New Roman"/>
                <w:bCs/>
                <w:sz w:val="24"/>
                <w:lang w:bidi="ar"/>
              </w:rPr>
              <w:t>废石是放错地方的资源，废石并不是完全没有用，大量废石的堆积不仅占用土地面积，长此以往，其中的有害物质会污染大气和土壤，给人们身体健康带来威胁，但废石经过加工之后可</w:t>
            </w:r>
            <w:r>
              <w:rPr>
                <w:rFonts w:hint="eastAsia" w:ascii="Times New Roman" w:hAnsi="Times New Roman" w:eastAsia="宋体" w:cs="Times New Roman"/>
                <w:bCs/>
                <w:sz w:val="24"/>
                <w:lang w:bidi="ar"/>
              </w:rPr>
              <w:t>成为</w:t>
            </w:r>
            <w:r>
              <w:rPr>
                <w:rFonts w:ascii="Times New Roman" w:hAnsi="Times New Roman" w:eastAsia="宋体" w:cs="Times New Roman"/>
                <w:bCs/>
                <w:sz w:val="24"/>
                <w:lang w:bidi="ar"/>
              </w:rPr>
              <w:t>优质的砂石骨料，</w:t>
            </w:r>
            <w:r>
              <w:rPr>
                <w:rFonts w:hint="eastAsia" w:ascii="Times New Roman" w:hAnsi="Times New Roman" w:eastAsia="宋体" w:cs="Times New Roman"/>
                <w:sz w:val="24"/>
              </w:rPr>
              <w:t>临沧山河矿业有限公司本着资源再生利用原则，</w:t>
            </w:r>
            <w:r>
              <w:rPr>
                <w:rFonts w:hint="eastAsia" w:ascii="Times New Roman" w:hAnsi="Times New Roman" w:eastAsia="宋体" w:cs="Times New Roman"/>
                <w:bCs/>
                <w:sz w:val="24"/>
                <w:lang w:bidi="ar"/>
              </w:rPr>
              <w:t>将当地砂石厂废土石、高速路开挖废土石回收加工利用</w:t>
            </w:r>
            <w:r>
              <w:rPr>
                <w:rFonts w:ascii="Times New Roman" w:hAnsi="Times New Roman" w:eastAsia="宋体" w:cs="Times New Roman"/>
                <w:bCs/>
                <w:sz w:val="24"/>
                <w:lang w:bidi="ar"/>
              </w:rPr>
              <w:t>。</w:t>
            </w:r>
            <w:r>
              <w:rPr>
                <w:rFonts w:hint="eastAsia" w:ascii="Times New Roman" w:hAnsi="Times New Roman" w:eastAsia="宋体" w:cs="Times New Roman"/>
                <w:b/>
                <w:sz w:val="24"/>
                <w:lang w:bidi="ar"/>
              </w:rPr>
              <w:t>原料均来自外购，本项目</w:t>
            </w:r>
            <w:r>
              <w:rPr>
                <w:rFonts w:hint="eastAsia" w:ascii="Times New Roman" w:hAnsi="Times New Roman" w:eastAsia="宋体" w:cs="Times New Roman"/>
                <w:b/>
                <w:sz w:val="24"/>
              </w:rPr>
              <w:t>不涉及河道采沙。</w:t>
            </w:r>
          </w:p>
          <w:p>
            <w:pPr>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项目名称：</w:t>
            </w:r>
            <w:r>
              <w:rPr>
                <w:rFonts w:hint="eastAsia" w:ascii="Times New Roman" w:hAnsi="Times New Roman" w:eastAsia="宋体" w:cs="Times New Roman"/>
                <w:sz w:val="24"/>
              </w:rPr>
              <w:t>云县山河沙、石加工建设项目</w:t>
            </w:r>
            <w:r>
              <w:rPr>
                <w:rFonts w:ascii="Times New Roman" w:hAnsi="Times New Roman" w:eastAsia="宋体" w:cs="Times New Roman"/>
                <w:sz w:val="24"/>
              </w:rPr>
              <w:t>；</w:t>
            </w:r>
          </w:p>
          <w:p>
            <w:pPr>
              <w:wordWrap w:val="0"/>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建设地点：项目区位于</w:t>
            </w:r>
            <w:r>
              <w:rPr>
                <w:rFonts w:hint="eastAsia" w:ascii="Times New Roman" w:hAnsi="Times New Roman" w:eastAsia="宋体" w:cs="Times New Roman"/>
                <w:sz w:val="24"/>
              </w:rPr>
              <w:t>云县爱华镇河湾村委会马家庄组</w:t>
            </w:r>
            <w:r>
              <w:rPr>
                <w:rFonts w:ascii="Times New Roman" w:hAnsi="Times New Roman" w:eastAsia="宋体" w:cs="Times New Roman"/>
                <w:sz w:val="24"/>
              </w:rPr>
              <w:t>，中心位置坐标为东经100°5'58.060"，北纬 24°27'59.783</w:t>
            </w:r>
            <w:r>
              <w:rPr>
                <w:rFonts w:ascii="Times New Roman" w:hAnsi="Times New Roman" w:eastAsia="宋体" w:cs="Times New Roman"/>
                <w:kern w:val="0"/>
                <w:sz w:val="24"/>
                <w:lang w:bidi="ar"/>
              </w:rPr>
              <w:t>″</w:t>
            </w:r>
            <w:r>
              <w:rPr>
                <w:rFonts w:ascii="Times New Roman" w:hAnsi="Times New Roman" w:eastAsia="宋体" w:cs="Times New Roman"/>
                <w:sz w:val="24"/>
              </w:rPr>
              <w:t>；</w:t>
            </w:r>
          </w:p>
          <w:p>
            <w:pPr>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建设性质：新建；</w:t>
            </w:r>
          </w:p>
          <w:p>
            <w:pPr>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总投资：</w:t>
            </w:r>
            <w:r>
              <w:rPr>
                <w:rFonts w:hint="eastAsia" w:ascii="Times New Roman" w:hAnsi="Times New Roman" w:eastAsia="宋体" w:cs="Times New Roman"/>
                <w:sz w:val="24"/>
              </w:rPr>
              <w:t>1000</w:t>
            </w:r>
            <w:r>
              <w:rPr>
                <w:rFonts w:ascii="Times New Roman" w:hAnsi="Times New Roman" w:eastAsia="宋体" w:cs="Times New Roman"/>
                <w:sz w:val="24"/>
              </w:rPr>
              <w:t>万元；</w:t>
            </w:r>
          </w:p>
          <w:p>
            <w:pPr>
              <w:pStyle w:val="11"/>
              <w:adjustRightInd w:val="0"/>
              <w:snapToGrid w:val="0"/>
              <w:spacing w:line="360" w:lineRule="auto"/>
              <w:ind w:firstLine="480" w:firstLineChars="200"/>
              <w:rPr>
                <w:rFonts w:ascii="Times New Roman" w:hAnsi="Times New Roman" w:eastAsia="宋体" w:cs="Times New Roman"/>
              </w:rPr>
            </w:pPr>
            <w:r>
              <w:rPr>
                <w:rFonts w:ascii="Times New Roman" w:hAnsi="Times New Roman" w:eastAsia="宋体" w:cs="Times New Roman"/>
              </w:rPr>
              <w:t>占地面积：</w:t>
            </w:r>
            <w:r>
              <w:rPr>
                <w:rFonts w:hint="eastAsia" w:ascii="Times New Roman" w:hAnsi="Times New Roman" w:eastAsia="宋体" w:cs="Times New Roman"/>
              </w:rPr>
              <w:t>9404.49</w:t>
            </w:r>
            <w:r>
              <w:rPr>
                <w:rFonts w:ascii="Times New Roman" w:hAnsi="Times New Roman" w:eastAsia="宋体" w:cs="Times New Roman"/>
              </w:rPr>
              <w:t>m</w:t>
            </w:r>
            <w:r>
              <w:rPr>
                <w:rFonts w:ascii="Times New Roman" w:hAnsi="Times New Roman" w:eastAsia="宋体" w:cs="Times New Roman"/>
                <w:vertAlign w:val="superscript"/>
              </w:rPr>
              <w:t>2</w:t>
            </w:r>
            <w:r>
              <w:rPr>
                <w:rFonts w:ascii="Times New Roman" w:hAnsi="Times New Roman" w:eastAsia="宋体" w:cs="Times New Roman"/>
              </w:rPr>
              <w:t>。</w:t>
            </w:r>
          </w:p>
          <w:p>
            <w:pPr>
              <w:adjustRightInd w:val="0"/>
              <w:snapToGrid w:val="0"/>
              <w:spacing w:line="360" w:lineRule="auto"/>
              <w:ind w:firstLine="482" w:firstLineChars="200"/>
              <w:rPr>
                <w:rFonts w:ascii="Times New Roman" w:hAnsi="Times New Roman" w:eastAsia="宋体" w:cs="Times New Roman"/>
                <w:b/>
                <w:bCs/>
                <w:sz w:val="24"/>
              </w:rPr>
            </w:pPr>
            <w:r>
              <w:rPr>
                <w:rFonts w:ascii="Times New Roman" w:hAnsi="Times New Roman" w:eastAsia="宋体" w:cs="Times New Roman"/>
                <w:b/>
                <w:bCs/>
                <w:sz w:val="24"/>
              </w:rPr>
              <w:t>2、工程内容及规模</w:t>
            </w:r>
          </w:p>
          <w:p>
            <w:pPr>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主要建设内容：项目主要建设内容包括</w:t>
            </w:r>
            <w:r>
              <w:rPr>
                <w:rFonts w:hint="eastAsia" w:ascii="Times New Roman" w:hAnsi="Times New Roman" w:eastAsia="宋体" w:cs="Times New Roman"/>
                <w:sz w:val="24"/>
              </w:rPr>
              <w:t>原料堆场、破碎加工区、</w:t>
            </w:r>
            <w:r>
              <w:rPr>
                <w:rFonts w:ascii="Times New Roman" w:hAnsi="Times New Roman" w:eastAsia="宋体" w:cs="Times New Roman"/>
                <w:sz w:val="24"/>
              </w:rPr>
              <w:t>洗沙区</w:t>
            </w:r>
            <w:r>
              <w:rPr>
                <w:rFonts w:hint="eastAsia" w:ascii="Times New Roman" w:hAnsi="Times New Roman" w:eastAsia="宋体" w:cs="Times New Roman"/>
                <w:sz w:val="24"/>
              </w:rPr>
              <w:t>、</w:t>
            </w:r>
            <w:r>
              <w:rPr>
                <w:rFonts w:ascii="Times New Roman" w:hAnsi="Times New Roman" w:eastAsia="宋体" w:cs="Times New Roman"/>
                <w:sz w:val="24"/>
              </w:rPr>
              <w:t>成品堆放场、办公区以及供电、给排水等基础设施。</w:t>
            </w:r>
          </w:p>
          <w:p>
            <w:pPr>
              <w:adjustRightInd w:val="0"/>
              <w:snapToGrid w:val="0"/>
              <w:spacing w:line="360" w:lineRule="auto"/>
              <w:ind w:firstLine="480" w:firstLineChars="200"/>
              <w:rPr>
                <w:rFonts w:ascii="Times New Roman" w:hAnsi="Times New Roman" w:eastAsia="宋体" w:cs="Times New Roman"/>
                <w:kern w:val="0"/>
                <w:sz w:val="24"/>
              </w:rPr>
            </w:pPr>
            <w:r>
              <w:rPr>
                <w:rFonts w:ascii="Times New Roman" w:hAnsi="Times New Roman" w:eastAsia="宋体" w:cs="Times New Roman"/>
                <w:kern w:val="0"/>
                <w:sz w:val="24"/>
              </w:rPr>
              <w:t>项目主要建设内容见表2-1。</w:t>
            </w:r>
          </w:p>
          <w:p>
            <w:pPr>
              <w:autoSpaceDE w:val="0"/>
              <w:autoSpaceDN w:val="0"/>
              <w:adjustRightInd w:val="0"/>
              <w:snapToGrid w:val="0"/>
              <w:jc w:val="center"/>
              <w:rPr>
                <w:rFonts w:ascii="Times New Roman" w:hAnsi="Times New Roman" w:eastAsia="宋体" w:cs="Times New Roman"/>
                <w:b/>
                <w:kern w:val="0"/>
                <w:szCs w:val="21"/>
              </w:rPr>
            </w:pPr>
            <w:r>
              <w:rPr>
                <w:rFonts w:ascii="Times New Roman" w:hAnsi="Times New Roman" w:eastAsia="宋体" w:cs="Times New Roman"/>
                <w:b/>
                <w:kern w:val="0"/>
                <w:szCs w:val="21"/>
              </w:rPr>
              <w:t>表2-1 项目建设内容一览表</w:t>
            </w:r>
          </w:p>
          <w:tbl>
            <w:tblPr>
              <w:tblStyle w:val="29"/>
              <w:tblW w:w="492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492"/>
              <w:gridCol w:w="955"/>
              <w:gridCol w:w="4395"/>
              <w:gridCol w:w="1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520" w:type="pct"/>
                  <w:vAlign w:val="center"/>
                </w:tcPr>
                <w:p>
                  <w:pPr>
                    <w:adjustRightInd w:val="0"/>
                    <w:snapToGrid w:val="0"/>
                    <w:jc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类型</w:t>
                  </w:r>
                </w:p>
              </w:tc>
              <w:tc>
                <w:tcPr>
                  <w:tcW w:w="936" w:type="pct"/>
                  <w:gridSpan w:val="2"/>
                  <w:vAlign w:val="center"/>
                </w:tcPr>
                <w:p>
                  <w:pPr>
                    <w:adjustRightInd w:val="0"/>
                    <w:snapToGrid w:val="0"/>
                    <w:jc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工程名称</w:t>
                  </w:r>
                </w:p>
              </w:tc>
              <w:tc>
                <w:tcPr>
                  <w:tcW w:w="2845" w:type="pct"/>
                  <w:vAlign w:val="center"/>
                </w:tcPr>
                <w:p>
                  <w:pPr>
                    <w:adjustRightInd w:val="0"/>
                    <w:snapToGrid w:val="0"/>
                    <w:jc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具体工程内容</w:t>
                  </w:r>
                </w:p>
              </w:tc>
              <w:tc>
                <w:tcPr>
                  <w:tcW w:w="697" w:type="pct"/>
                  <w:vAlign w:val="center"/>
                </w:tcPr>
                <w:p>
                  <w:pPr>
                    <w:adjustRightInd w:val="0"/>
                    <w:snapToGrid w:val="0"/>
                    <w:jc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520" w:type="pct"/>
                  <w:vMerge w:val="restart"/>
                  <w:vAlign w:val="center"/>
                </w:tcPr>
                <w:p>
                  <w:pPr>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主体</w:t>
                  </w:r>
                </w:p>
                <w:p>
                  <w:pPr>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工程</w:t>
                  </w:r>
                </w:p>
              </w:tc>
              <w:tc>
                <w:tcPr>
                  <w:tcW w:w="936" w:type="pct"/>
                  <w:gridSpan w:val="2"/>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原料堆场</w:t>
                  </w:r>
                </w:p>
              </w:tc>
              <w:tc>
                <w:tcPr>
                  <w:tcW w:w="2845" w:type="pct"/>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设彩钢瓦大棚+三面围挡，本项目原料堆场占地面积约为</w:t>
                  </w:r>
                  <w:r>
                    <w:rPr>
                      <w:rFonts w:hint="eastAsia" w:ascii="Times New Roman" w:hAnsi="Times New Roman" w:eastAsia="宋体" w:cs="Times New Roman"/>
                      <w:kern w:val="0"/>
                      <w:szCs w:val="21"/>
                    </w:rPr>
                    <w:t>1000</w:t>
                  </w:r>
                  <w:r>
                    <w:rPr>
                      <w:rFonts w:ascii="Times New Roman" w:hAnsi="Times New Roman" w:eastAsia="宋体" w:cs="Times New Roman"/>
                      <w:kern w:val="0"/>
                      <w:szCs w:val="21"/>
                    </w:rPr>
                    <w:t>㎡。</w:t>
                  </w:r>
                </w:p>
              </w:tc>
              <w:tc>
                <w:tcPr>
                  <w:tcW w:w="697" w:type="pct"/>
                  <w:vAlign w:val="center"/>
                </w:tcPr>
                <w:p>
                  <w:pPr>
                    <w:adjustRightInd w:val="0"/>
                    <w:snapToGrid w:val="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520" w:type="pct"/>
                  <w:vMerge w:val="continue"/>
                  <w:vAlign w:val="center"/>
                </w:tcPr>
                <w:p>
                  <w:pPr>
                    <w:adjustRightInd w:val="0"/>
                    <w:snapToGrid w:val="0"/>
                    <w:jc w:val="center"/>
                    <w:rPr>
                      <w:rFonts w:ascii="Times New Roman" w:hAnsi="Times New Roman" w:eastAsia="宋体" w:cs="Times New Roman"/>
                      <w:kern w:val="0"/>
                      <w:szCs w:val="21"/>
                    </w:rPr>
                  </w:pPr>
                </w:p>
              </w:tc>
              <w:tc>
                <w:tcPr>
                  <w:tcW w:w="936" w:type="pct"/>
                  <w:gridSpan w:val="2"/>
                  <w:vAlign w:val="center"/>
                </w:tcPr>
                <w:p>
                  <w:pPr>
                    <w:jc w:val="center"/>
                    <w:rPr>
                      <w:rFonts w:ascii="Times New Roman" w:hAnsi="Times New Roman" w:eastAsia="宋体" w:cs="Times New Roman"/>
                      <w:szCs w:val="21"/>
                    </w:rPr>
                  </w:pPr>
                  <w:r>
                    <w:rPr>
                      <w:rFonts w:ascii="Times New Roman" w:hAnsi="Times New Roman" w:eastAsia="宋体" w:cs="Times New Roman"/>
                      <w:szCs w:val="21"/>
                    </w:rPr>
                    <w:t>破碎加工区</w:t>
                  </w:r>
                </w:p>
              </w:tc>
              <w:tc>
                <w:tcPr>
                  <w:tcW w:w="2845" w:type="pct"/>
                  <w:vAlign w:val="center"/>
                </w:tcPr>
                <w:p>
                  <w:pPr>
                    <w:rPr>
                      <w:rFonts w:ascii="Times New Roman" w:hAnsi="Times New Roman" w:eastAsia="宋体" w:cs="Times New Roman"/>
                      <w:kern w:val="0"/>
                      <w:szCs w:val="21"/>
                    </w:rPr>
                  </w:pPr>
                  <w:r>
                    <w:rPr>
                      <w:rFonts w:ascii="Times New Roman" w:hAnsi="Times New Roman" w:eastAsia="宋体" w:cs="Times New Roman"/>
                      <w:kern w:val="0"/>
                      <w:szCs w:val="21"/>
                    </w:rPr>
                    <w:t>设置彩钢瓦大棚，破碎加工区占地面积约为</w:t>
                  </w:r>
                  <w:r>
                    <w:rPr>
                      <w:rFonts w:hint="eastAsia" w:ascii="Times New Roman" w:hAnsi="Times New Roman" w:eastAsia="宋体" w:cs="Times New Roman"/>
                      <w:kern w:val="0"/>
                      <w:szCs w:val="21"/>
                    </w:rPr>
                    <w:t>800</w:t>
                  </w:r>
                  <w:r>
                    <w:rPr>
                      <w:rFonts w:ascii="Times New Roman" w:hAnsi="Times New Roman" w:eastAsia="宋体" w:cs="Times New Roman"/>
                      <w:kern w:val="0"/>
                      <w:szCs w:val="21"/>
                    </w:rPr>
                    <w:t>㎡。</w:t>
                  </w:r>
                </w:p>
              </w:tc>
              <w:tc>
                <w:tcPr>
                  <w:tcW w:w="697" w:type="pct"/>
                  <w:vAlign w:val="center"/>
                </w:tcPr>
                <w:p>
                  <w:pPr>
                    <w:adjustRightInd w:val="0"/>
                    <w:snapToGrid w:val="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520" w:type="pct"/>
                  <w:vMerge w:val="continue"/>
                  <w:vAlign w:val="center"/>
                </w:tcPr>
                <w:p>
                  <w:pPr>
                    <w:adjustRightInd w:val="0"/>
                    <w:snapToGrid w:val="0"/>
                    <w:jc w:val="center"/>
                    <w:rPr>
                      <w:rFonts w:ascii="Times New Roman" w:hAnsi="Times New Roman" w:eastAsia="宋体" w:cs="Times New Roman"/>
                      <w:kern w:val="0"/>
                      <w:szCs w:val="21"/>
                    </w:rPr>
                  </w:pPr>
                </w:p>
              </w:tc>
              <w:tc>
                <w:tcPr>
                  <w:tcW w:w="936" w:type="pct"/>
                  <w:gridSpan w:val="2"/>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洗沙区</w:t>
                  </w:r>
                </w:p>
              </w:tc>
              <w:tc>
                <w:tcPr>
                  <w:tcW w:w="2845" w:type="pct"/>
                  <w:vAlign w:val="center"/>
                </w:tcPr>
                <w:p>
                  <w:pPr>
                    <w:rPr>
                      <w:rFonts w:ascii="Times New Roman" w:hAnsi="Times New Roman" w:eastAsia="宋体" w:cs="Times New Roman"/>
                      <w:kern w:val="0"/>
                      <w:szCs w:val="21"/>
                    </w:rPr>
                  </w:pPr>
                  <w:r>
                    <w:rPr>
                      <w:rFonts w:ascii="Times New Roman" w:hAnsi="Times New Roman" w:eastAsia="宋体" w:cs="Times New Roman"/>
                      <w:kern w:val="0"/>
                      <w:szCs w:val="21"/>
                    </w:rPr>
                    <w:t>设置彩钢瓦大棚，</w:t>
                  </w:r>
                  <w:r>
                    <w:rPr>
                      <w:rFonts w:hint="eastAsia" w:ascii="Times New Roman" w:hAnsi="Times New Roman" w:eastAsia="宋体" w:cs="Times New Roman"/>
                      <w:kern w:val="0"/>
                      <w:szCs w:val="21"/>
                    </w:rPr>
                    <w:t>洗沙</w:t>
                  </w:r>
                  <w:r>
                    <w:rPr>
                      <w:rFonts w:ascii="Times New Roman" w:hAnsi="Times New Roman" w:eastAsia="宋体" w:cs="Times New Roman"/>
                      <w:kern w:val="0"/>
                      <w:szCs w:val="21"/>
                    </w:rPr>
                    <w:t>区占地面积约为</w:t>
                  </w:r>
                  <w:r>
                    <w:rPr>
                      <w:rFonts w:hint="eastAsia" w:ascii="Times New Roman" w:hAnsi="Times New Roman" w:eastAsia="宋体" w:cs="Times New Roman"/>
                      <w:kern w:val="0"/>
                      <w:szCs w:val="21"/>
                    </w:rPr>
                    <w:t>6200</w:t>
                  </w:r>
                  <w:r>
                    <w:rPr>
                      <w:rFonts w:ascii="Times New Roman" w:hAnsi="Times New Roman" w:eastAsia="宋体" w:cs="Times New Roman"/>
                      <w:kern w:val="0"/>
                      <w:szCs w:val="21"/>
                    </w:rPr>
                    <w:t>㎡。</w:t>
                  </w:r>
                </w:p>
              </w:tc>
              <w:tc>
                <w:tcPr>
                  <w:tcW w:w="697" w:type="pct"/>
                  <w:vAlign w:val="center"/>
                </w:tcPr>
                <w:p>
                  <w:pPr>
                    <w:adjustRightInd w:val="0"/>
                    <w:snapToGrid w:val="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520" w:type="pct"/>
                  <w:vMerge w:val="continue"/>
                  <w:vAlign w:val="center"/>
                </w:tcPr>
                <w:p>
                  <w:pPr>
                    <w:adjustRightInd w:val="0"/>
                    <w:snapToGrid w:val="0"/>
                    <w:jc w:val="center"/>
                    <w:rPr>
                      <w:rFonts w:ascii="Times New Roman" w:hAnsi="Times New Roman" w:eastAsia="宋体" w:cs="Times New Roman"/>
                      <w:kern w:val="0"/>
                      <w:szCs w:val="21"/>
                    </w:rPr>
                  </w:pPr>
                </w:p>
              </w:tc>
              <w:tc>
                <w:tcPr>
                  <w:tcW w:w="936" w:type="pct"/>
                  <w:gridSpan w:val="2"/>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成品堆放场</w:t>
                  </w:r>
                </w:p>
              </w:tc>
              <w:tc>
                <w:tcPr>
                  <w:tcW w:w="2845" w:type="pct"/>
                  <w:vAlign w:val="center"/>
                </w:tcPr>
                <w:p>
                  <w:pPr>
                    <w:rPr>
                      <w:rFonts w:ascii="Times New Roman" w:hAnsi="Times New Roman" w:eastAsia="宋体" w:cs="Times New Roman"/>
                      <w:kern w:val="0"/>
                      <w:szCs w:val="21"/>
                    </w:rPr>
                  </w:pPr>
                  <w:r>
                    <w:rPr>
                      <w:rFonts w:ascii="Times New Roman" w:hAnsi="Times New Roman" w:eastAsia="宋体" w:cs="Times New Roman"/>
                      <w:kern w:val="0"/>
                      <w:szCs w:val="21"/>
                    </w:rPr>
                    <w:t>设彩钢瓦大棚+三面围挡，围挡高度要求高于石料堆放高度，围挡高约5m。石料表面设置土工布覆盖，成品堆场占地面积约为</w:t>
                  </w:r>
                  <w:r>
                    <w:rPr>
                      <w:rFonts w:hint="eastAsia" w:ascii="Times New Roman" w:hAnsi="Times New Roman" w:eastAsia="宋体" w:cs="Times New Roman"/>
                      <w:kern w:val="0"/>
                      <w:szCs w:val="21"/>
                    </w:rPr>
                    <w:t>1200</w:t>
                  </w:r>
                  <w:r>
                    <w:rPr>
                      <w:rFonts w:ascii="Times New Roman" w:hAnsi="Times New Roman" w:eastAsia="宋体" w:cs="Times New Roman"/>
                      <w:kern w:val="0"/>
                      <w:szCs w:val="21"/>
                    </w:rPr>
                    <w:t>㎡。</w:t>
                  </w:r>
                </w:p>
              </w:tc>
              <w:tc>
                <w:tcPr>
                  <w:tcW w:w="697" w:type="pct"/>
                  <w:vAlign w:val="center"/>
                </w:tcPr>
                <w:p>
                  <w:pPr>
                    <w:adjustRightInd w:val="0"/>
                    <w:snapToGrid w:val="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520" w:type="pct"/>
                  <w:vMerge w:val="continue"/>
                  <w:vAlign w:val="center"/>
                </w:tcPr>
                <w:p>
                  <w:pPr>
                    <w:adjustRightInd w:val="0"/>
                    <w:snapToGrid w:val="0"/>
                    <w:jc w:val="center"/>
                    <w:rPr>
                      <w:rFonts w:ascii="Times New Roman" w:hAnsi="Times New Roman" w:eastAsia="宋体" w:cs="Times New Roman"/>
                      <w:kern w:val="0"/>
                      <w:szCs w:val="21"/>
                    </w:rPr>
                  </w:pPr>
                </w:p>
              </w:tc>
              <w:tc>
                <w:tcPr>
                  <w:tcW w:w="936" w:type="pct"/>
                  <w:gridSpan w:val="2"/>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污泥堆场</w:t>
                  </w:r>
                </w:p>
              </w:tc>
              <w:tc>
                <w:tcPr>
                  <w:tcW w:w="2845" w:type="pct"/>
                  <w:vAlign w:val="center"/>
                </w:tcPr>
                <w:p>
                  <w:pPr>
                    <w:rPr>
                      <w:rFonts w:ascii="Times New Roman" w:hAnsi="Times New Roman" w:eastAsia="宋体" w:cs="Times New Roman"/>
                      <w:kern w:val="0"/>
                      <w:szCs w:val="21"/>
                    </w:rPr>
                  </w:pPr>
                  <w:r>
                    <w:rPr>
                      <w:rFonts w:ascii="Times New Roman" w:hAnsi="Times New Roman" w:eastAsia="宋体" w:cs="Times New Roman"/>
                      <w:kern w:val="0"/>
                      <w:szCs w:val="21"/>
                    </w:rPr>
                    <w:t>设彩钢瓦大棚+三面围挡，围挡高度要求高于</w:t>
                  </w:r>
                  <w:r>
                    <w:rPr>
                      <w:rFonts w:hint="eastAsia" w:ascii="Times New Roman" w:hAnsi="Times New Roman" w:eastAsia="宋体" w:cs="Times New Roman"/>
                      <w:kern w:val="0"/>
                      <w:szCs w:val="21"/>
                    </w:rPr>
                    <w:t>污泥</w:t>
                  </w:r>
                  <w:r>
                    <w:rPr>
                      <w:rFonts w:ascii="Times New Roman" w:hAnsi="Times New Roman" w:eastAsia="宋体" w:cs="Times New Roman"/>
                      <w:kern w:val="0"/>
                      <w:szCs w:val="21"/>
                    </w:rPr>
                    <w:t>堆放高度，围挡高约</w:t>
                  </w:r>
                  <w:r>
                    <w:rPr>
                      <w:rFonts w:hint="eastAsia" w:ascii="Times New Roman" w:hAnsi="Times New Roman" w:eastAsia="宋体" w:cs="Times New Roman"/>
                      <w:kern w:val="0"/>
                      <w:szCs w:val="21"/>
                    </w:rPr>
                    <w:t>1</w:t>
                  </w:r>
                  <w:r>
                    <w:rPr>
                      <w:rFonts w:ascii="Times New Roman" w:hAnsi="Times New Roman" w:eastAsia="宋体" w:cs="Times New Roman"/>
                      <w:kern w:val="0"/>
                      <w:szCs w:val="21"/>
                    </w:rPr>
                    <w:t>m。成品堆场占地面积约为</w:t>
                  </w:r>
                  <w:r>
                    <w:rPr>
                      <w:rFonts w:hint="eastAsia" w:ascii="Times New Roman" w:hAnsi="Times New Roman" w:eastAsia="宋体" w:cs="Times New Roman"/>
                      <w:kern w:val="0"/>
                      <w:szCs w:val="21"/>
                    </w:rPr>
                    <w:t>100</w:t>
                  </w:r>
                  <w:r>
                    <w:rPr>
                      <w:rFonts w:ascii="Times New Roman" w:hAnsi="Times New Roman" w:eastAsia="宋体" w:cs="Times New Roman"/>
                      <w:kern w:val="0"/>
                      <w:szCs w:val="21"/>
                    </w:rPr>
                    <w:t>㎡。</w:t>
                  </w:r>
                </w:p>
              </w:tc>
              <w:tc>
                <w:tcPr>
                  <w:tcW w:w="697" w:type="pct"/>
                  <w:vAlign w:val="center"/>
                </w:tcPr>
                <w:p>
                  <w:pPr>
                    <w:adjustRightInd w:val="0"/>
                    <w:snapToGrid w:val="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520" w:type="pct"/>
                  <w:vAlign w:val="center"/>
                </w:tcPr>
                <w:p>
                  <w:pPr>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辅助</w:t>
                  </w:r>
                </w:p>
                <w:p>
                  <w:pPr>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工程</w:t>
                  </w:r>
                </w:p>
              </w:tc>
              <w:tc>
                <w:tcPr>
                  <w:tcW w:w="936" w:type="pct"/>
                  <w:gridSpan w:val="2"/>
                  <w:vAlign w:val="center"/>
                </w:tcPr>
                <w:p>
                  <w:pPr>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生活办公区</w:t>
                  </w:r>
                </w:p>
              </w:tc>
              <w:tc>
                <w:tcPr>
                  <w:tcW w:w="2845" w:type="pct"/>
                  <w:vAlign w:val="center"/>
                </w:tcPr>
                <w:p>
                  <w:pPr>
                    <w:adjustRightInd w:val="0"/>
                    <w:snapToGrid w:val="0"/>
                    <w:jc w:val="left"/>
                    <w:rPr>
                      <w:rFonts w:ascii="Times New Roman" w:hAnsi="Times New Roman" w:eastAsia="宋体" w:cs="Times New Roman"/>
                      <w:szCs w:val="21"/>
                    </w:rPr>
                  </w:pPr>
                  <w:r>
                    <w:rPr>
                      <w:rFonts w:ascii="Times New Roman" w:hAnsi="Times New Roman" w:eastAsia="宋体" w:cs="Times New Roman"/>
                      <w:szCs w:val="21"/>
                    </w:rPr>
                    <w:t>1栋，2层，砖混结构</w:t>
                  </w:r>
                  <w:r>
                    <w:rPr>
                      <w:rFonts w:hint="eastAsia" w:ascii="Times New Roman" w:hAnsi="Times New Roman" w:eastAsia="宋体" w:cs="Times New Roman"/>
                      <w:szCs w:val="21"/>
                    </w:rPr>
                    <w:t>，</w:t>
                  </w:r>
                  <w:r>
                    <w:rPr>
                      <w:rFonts w:ascii="Times New Roman" w:hAnsi="Times New Roman" w:eastAsia="宋体" w:cs="Times New Roman"/>
                      <w:szCs w:val="21"/>
                    </w:rPr>
                    <w:t>1层主要设置办公室，二层设置住宿</w:t>
                  </w:r>
                  <w:r>
                    <w:rPr>
                      <w:rFonts w:hint="eastAsia" w:ascii="Times New Roman" w:hAnsi="Times New Roman" w:eastAsia="宋体" w:cs="Times New Roman"/>
                      <w:szCs w:val="21"/>
                    </w:rPr>
                    <w:t>，建筑面积约为200</w:t>
                  </w:r>
                  <w:r>
                    <w:rPr>
                      <w:rFonts w:ascii="Times New Roman" w:hAnsi="Times New Roman" w:eastAsia="宋体" w:cs="Times New Roman"/>
                      <w:kern w:val="0"/>
                      <w:szCs w:val="21"/>
                    </w:rPr>
                    <w:t>㎡</w:t>
                  </w:r>
                  <w:r>
                    <w:rPr>
                      <w:rFonts w:ascii="Times New Roman" w:hAnsi="Times New Roman" w:eastAsia="宋体" w:cs="Times New Roman"/>
                      <w:szCs w:val="21"/>
                    </w:rPr>
                    <w:t>。</w:t>
                  </w:r>
                </w:p>
              </w:tc>
              <w:tc>
                <w:tcPr>
                  <w:tcW w:w="697" w:type="pct"/>
                  <w:vAlign w:val="center"/>
                </w:tcPr>
                <w:p>
                  <w:pPr>
                    <w:adjustRightInd w:val="0"/>
                    <w:snapToGrid w:val="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520" w:type="pct"/>
                  <w:vMerge w:val="restart"/>
                  <w:vAlign w:val="center"/>
                </w:tcPr>
                <w:p>
                  <w:pPr>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公用</w:t>
                  </w:r>
                </w:p>
                <w:p>
                  <w:pPr>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工程</w:t>
                  </w:r>
                </w:p>
              </w:tc>
              <w:tc>
                <w:tcPr>
                  <w:tcW w:w="936" w:type="pct"/>
                  <w:gridSpan w:val="2"/>
                  <w:vAlign w:val="center"/>
                </w:tcPr>
                <w:p>
                  <w:pPr>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供电</w:t>
                  </w:r>
                </w:p>
              </w:tc>
              <w:tc>
                <w:tcPr>
                  <w:tcW w:w="2845" w:type="pct"/>
                  <w:vAlign w:val="center"/>
                </w:tcPr>
                <w:p>
                  <w:pPr>
                    <w:adjustRightInd w:val="0"/>
                    <w:snapToGrid w:val="0"/>
                    <w:jc w:val="left"/>
                    <w:rPr>
                      <w:rFonts w:ascii="Times New Roman" w:hAnsi="Times New Roman" w:eastAsia="宋体" w:cs="Times New Roman"/>
                      <w:szCs w:val="21"/>
                    </w:rPr>
                  </w:pPr>
                  <w:r>
                    <w:rPr>
                      <w:rFonts w:ascii="Times New Roman" w:hAnsi="Times New Roman" w:eastAsia="宋体" w:cs="Times New Roman"/>
                      <w:szCs w:val="21"/>
                    </w:rPr>
                    <w:t>接周边村寨</w:t>
                  </w:r>
                </w:p>
              </w:tc>
              <w:tc>
                <w:tcPr>
                  <w:tcW w:w="697" w:type="pct"/>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520" w:type="pct"/>
                  <w:vMerge w:val="continue"/>
                  <w:vAlign w:val="center"/>
                </w:tcPr>
                <w:p>
                  <w:pPr>
                    <w:adjustRightInd w:val="0"/>
                    <w:snapToGrid w:val="0"/>
                    <w:jc w:val="center"/>
                    <w:rPr>
                      <w:rFonts w:ascii="Times New Roman" w:hAnsi="Times New Roman" w:eastAsia="宋体" w:cs="Times New Roman"/>
                      <w:kern w:val="0"/>
                      <w:szCs w:val="21"/>
                    </w:rPr>
                  </w:pPr>
                </w:p>
              </w:tc>
              <w:tc>
                <w:tcPr>
                  <w:tcW w:w="936" w:type="pct"/>
                  <w:gridSpan w:val="2"/>
                  <w:vAlign w:val="center"/>
                </w:tcPr>
                <w:p>
                  <w:pPr>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供水</w:t>
                  </w:r>
                </w:p>
              </w:tc>
              <w:tc>
                <w:tcPr>
                  <w:tcW w:w="2845" w:type="pct"/>
                  <w:vAlign w:val="center"/>
                </w:tcPr>
                <w:p>
                  <w:pPr>
                    <w:adjustRightInd w:val="0"/>
                    <w:snapToGrid w:val="0"/>
                    <w:jc w:val="left"/>
                    <w:rPr>
                      <w:rFonts w:ascii="Times New Roman" w:hAnsi="Times New Roman" w:eastAsia="宋体" w:cs="Times New Roman"/>
                      <w:szCs w:val="21"/>
                    </w:rPr>
                  </w:pPr>
                  <w:r>
                    <w:rPr>
                      <w:rFonts w:ascii="Times New Roman" w:hAnsi="Times New Roman" w:eastAsia="宋体" w:cs="Times New Roman"/>
                      <w:szCs w:val="21"/>
                    </w:rPr>
                    <w:t>项目区</w:t>
                  </w:r>
                  <w:r>
                    <w:rPr>
                      <w:rFonts w:hint="eastAsia" w:ascii="Times New Roman" w:hAnsi="Times New Roman" w:eastAsia="宋体" w:cs="Times New Roman"/>
                      <w:szCs w:val="21"/>
                    </w:rPr>
                    <w:t>洗沙用水来源北桥河，</w:t>
                  </w:r>
                  <w:r>
                    <w:rPr>
                      <w:rFonts w:ascii="Times New Roman" w:hAnsi="Times New Roman" w:eastAsia="宋体" w:cs="Times New Roman"/>
                      <w:szCs w:val="21"/>
                    </w:rPr>
                    <w:t>生活用水由爱华镇河湾村自来水管网供给。</w:t>
                  </w:r>
                </w:p>
              </w:tc>
              <w:tc>
                <w:tcPr>
                  <w:tcW w:w="697" w:type="pct"/>
                  <w:vAlign w:val="center"/>
                </w:tcPr>
                <w:p>
                  <w:pPr>
                    <w:adjustRightInd w:val="0"/>
                    <w:snapToGrid w:val="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520" w:type="pct"/>
                  <w:vMerge w:val="continue"/>
                  <w:vAlign w:val="center"/>
                </w:tcPr>
                <w:p>
                  <w:pPr>
                    <w:adjustRightInd w:val="0"/>
                    <w:snapToGrid w:val="0"/>
                    <w:jc w:val="center"/>
                    <w:rPr>
                      <w:rFonts w:ascii="Times New Roman" w:hAnsi="Times New Roman" w:eastAsia="宋体" w:cs="Times New Roman"/>
                      <w:kern w:val="0"/>
                      <w:szCs w:val="21"/>
                    </w:rPr>
                  </w:pPr>
                </w:p>
              </w:tc>
              <w:tc>
                <w:tcPr>
                  <w:tcW w:w="936" w:type="pct"/>
                  <w:gridSpan w:val="2"/>
                  <w:vAlign w:val="center"/>
                </w:tcPr>
                <w:p>
                  <w:pPr>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排水</w:t>
                  </w:r>
                </w:p>
              </w:tc>
              <w:tc>
                <w:tcPr>
                  <w:tcW w:w="2845" w:type="pct"/>
                  <w:vAlign w:val="center"/>
                </w:tcPr>
                <w:p>
                  <w:pPr>
                    <w:rPr>
                      <w:rFonts w:ascii="Times New Roman" w:hAnsi="Times New Roman" w:eastAsia="宋体" w:cs="Times New Roman"/>
                      <w:szCs w:val="21"/>
                    </w:rPr>
                  </w:pPr>
                  <w:r>
                    <w:rPr>
                      <w:rFonts w:hint="eastAsia" w:ascii="Times New Roman" w:hAnsi="Times New Roman" w:eastAsia="宋体" w:cs="Times New Roman"/>
                      <w:szCs w:val="21"/>
                    </w:rPr>
                    <w:t>采取雨污分流，初期雨水、洗车废水、生产废水经收集处理后回用于生产；生活污水经化粪池清掏后委托当地居民清掏，用作农肥处置。</w:t>
                  </w:r>
                </w:p>
              </w:tc>
              <w:tc>
                <w:tcPr>
                  <w:tcW w:w="697" w:type="pct"/>
                  <w:vAlign w:val="center"/>
                </w:tcPr>
                <w:p>
                  <w:pPr>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项目无生产废水外排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520" w:type="pct"/>
                  <w:vMerge w:val="restart"/>
                  <w:vAlign w:val="center"/>
                </w:tcPr>
                <w:p>
                  <w:pPr>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环保</w:t>
                  </w:r>
                </w:p>
                <w:p>
                  <w:pPr>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工程</w:t>
                  </w:r>
                </w:p>
              </w:tc>
              <w:tc>
                <w:tcPr>
                  <w:tcW w:w="318" w:type="pct"/>
                  <w:vMerge w:val="restart"/>
                  <w:vAlign w:val="center"/>
                </w:tcPr>
                <w:p>
                  <w:pPr>
                    <w:pStyle w:val="76"/>
                    <w:jc w:val="center"/>
                    <w:rPr>
                      <w:rFonts w:ascii="Times New Roman" w:hAnsi="Times New Roman"/>
                      <w:sz w:val="21"/>
                      <w:szCs w:val="21"/>
                    </w:rPr>
                  </w:pPr>
                  <w:r>
                    <w:rPr>
                      <w:rFonts w:ascii="Times New Roman" w:hAnsi="Times New Roman"/>
                      <w:sz w:val="21"/>
                      <w:szCs w:val="21"/>
                    </w:rPr>
                    <w:t>废气</w:t>
                  </w:r>
                </w:p>
              </w:tc>
              <w:tc>
                <w:tcPr>
                  <w:tcW w:w="617" w:type="pct"/>
                  <w:vAlign w:val="center"/>
                </w:tcPr>
                <w:p>
                  <w:pPr>
                    <w:pStyle w:val="76"/>
                    <w:jc w:val="center"/>
                    <w:rPr>
                      <w:rFonts w:ascii="Times New Roman" w:hAnsi="Times New Roman"/>
                      <w:sz w:val="21"/>
                      <w:szCs w:val="21"/>
                    </w:rPr>
                  </w:pPr>
                  <w:r>
                    <w:rPr>
                      <w:rFonts w:hint="eastAsia" w:ascii="Times New Roman" w:hAnsi="Times New Roman"/>
                      <w:sz w:val="21"/>
                      <w:szCs w:val="21"/>
                    </w:rPr>
                    <w:t>雾炮机</w:t>
                  </w:r>
                </w:p>
              </w:tc>
              <w:tc>
                <w:tcPr>
                  <w:tcW w:w="2845" w:type="pct"/>
                  <w:vAlign w:val="center"/>
                </w:tcPr>
                <w:p>
                  <w:pPr>
                    <w:pStyle w:val="76"/>
                    <w:rPr>
                      <w:rFonts w:ascii="Times New Roman" w:hAnsi="Times New Roman"/>
                      <w:sz w:val="21"/>
                      <w:szCs w:val="21"/>
                    </w:rPr>
                  </w:pPr>
                  <w:r>
                    <w:rPr>
                      <w:rFonts w:hint="eastAsia" w:ascii="Times New Roman" w:hAnsi="Times New Roman"/>
                      <w:sz w:val="21"/>
                      <w:szCs w:val="21"/>
                    </w:rPr>
                    <w:t>6</w:t>
                  </w:r>
                  <w:r>
                    <w:rPr>
                      <w:rFonts w:ascii="Times New Roman" w:hAnsi="Times New Roman"/>
                      <w:sz w:val="21"/>
                      <w:szCs w:val="21"/>
                    </w:rPr>
                    <w:t>台，分别放置于原料堆棚、成品堆棚，用于原料、成品装卸过程抑尘，其中原料堆</w:t>
                  </w:r>
                  <w:r>
                    <w:rPr>
                      <w:rFonts w:hint="eastAsia" w:ascii="Times New Roman" w:hAnsi="Times New Roman"/>
                      <w:sz w:val="21"/>
                      <w:szCs w:val="21"/>
                    </w:rPr>
                    <w:t>场</w:t>
                  </w:r>
                  <w:r>
                    <w:rPr>
                      <w:rFonts w:ascii="Times New Roman" w:hAnsi="Times New Roman"/>
                      <w:sz w:val="21"/>
                      <w:szCs w:val="21"/>
                    </w:rPr>
                    <w:t>设置</w:t>
                  </w:r>
                  <w:r>
                    <w:rPr>
                      <w:rFonts w:hint="eastAsia" w:ascii="Times New Roman" w:hAnsi="Times New Roman"/>
                      <w:sz w:val="21"/>
                      <w:szCs w:val="21"/>
                    </w:rPr>
                    <w:t>2</w:t>
                  </w:r>
                  <w:r>
                    <w:rPr>
                      <w:rFonts w:ascii="Times New Roman" w:hAnsi="Times New Roman"/>
                      <w:sz w:val="21"/>
                      <w:szCs w:val="21"/>
                    </w:rPr>
                    <w:t>台，成品堆</w:t>
                  </w:r>
                  <w:r>
                    <w:rPr>
                      <w:rFonts w:hint="eastAsia" w:ascii="Times New Roman" w:hAnsi="Times New Roman"/>
                      <w:sz w:val="21"/>
                      <w:szCs w:val="21"/>
                    </w:rPr>
                    <w:t>场</w:t>
                  </w:r>
                  <w:r>
                    <w:rPr>
                      <w:rFonts w:ascii="Times New Roman" w:hAnsi="Times New Roman"/>
                      <w:sz w:val="21"/>
                      <w:szCs w:val="21"/>
                    </w:rPr>
                    <w:t>设置</w:t>
                  </w:r>
                  <w:r>
                    <w:rPr>
                      <w:rFonts w:hint="eastAsia" w:ascii="Times New Roman" w:hAnsi="Times New Roman"/>
                      <w:sz w:val="21"/>
                      <w:szCs w:val="21"/>
                    </w:rPr>
                    <w:t>4</w:t>
                  </w:r>
                  <w:r>
                    <w:rPr>
                      <w:rFonts w:ascii="Times New Roman" w:hAnsi="Times New Roman"/>
                      <w:sz w:val="21"/>
                      <w:szCs w:val="21"/>
                    </w:rPr>
                    <w:t>台</w:t>
                  </w:r>
                </w:p>
              </w:tc>
              <w:tc>
                <w:tcPr>
                  <w:tcW w:w="697" w:type="pct"/>
                  <w:vAlign w:val="center"/>
                </w:tcPr>
                <w:p>
                  <w:pPr>
                    <w:adjustRightInd w:val="0"/>
                    <w:snapToGrid w:val="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520" w:type="pct"/>
                  <w:vMerge w:val="continue"/>
                  <w:vAlign w:val="center"/>
                </w:tcPr>
                <w:p>
                  <w:pPr>
                    <w:adjustRightInd w:val="0"/>
                    <w:snapToGrid w:val="0"/>
                    <w:jc w:val="center"/>
                    <w:rPr>
                      <w:rFonts w:ascii="Times New Roman" w:hAnsi="Times New Roman" w:eastAsia="宋体" w:cs="Times New Roman"/>
                      <w:kern w:val="0"/>
                      <w:szCs w:val="21"/>
                    </w:rPr>
                  </w:pPr>
                </w:p>
              </w:tc>
              <w:tc>
                <w:tcPr>
                  <w:tcW w:w="318" w:type="pct"/>
                  <w:vMerge w:val="continue"/>
                  <w:vAlign w:val="center"/>
                </w:tcPr>
                <w:p>
                  <w:pPr>
                    <w:pStyle w:val="76"/>
                    <w:jc w:val="center"/>
                    <w:rPr>
                      <w:rFonts w:ascii="Times New Roman" w:hAnsi="Times New Roman"/>
                      <w:sz w:val="21"/>
                      <w:szCs w:val="21"/>
                    </w:rPr>
                  </w:pPr>
                </w:p>
              </w:tc>
              <w:tc>
                <w:tcPr>
                  <w:tcW w:w="617" w:type="pct"/>
                  <w:vAlign w:val="center"/>
                </w:tcPr>
                <w:p>
                  <w:pPr>
                    <w:pStyle w:val="76"/>
                    <w:jc w:val="center"/>
                    <w:rPr>
                      <w:rFonts w:ascii="Times New Roman" w:hAnsi="Times New Roman"/>
                      <w:sz w:val="21"/>
                      <w:szCs w:val="21"/>
                    </w:rPr>
                  </w:pPr>
                  <w:r>
                    <w:rPr>
                      <w:rFonts w:hint="eastAsia" w:ascii="Times New Roman" w:hAnsi="Times New Roman"/>
                      <w:sz w:val="21"/>
                      <w:szCs w:val="21"/>
                    </w:rPr>
                    <w:t>喷洒头</w:t>
                  </w:r>
                </w:p>
              </w:tc>
              <w:tc>
                <w:tcPr>
                  <w:tcW w:w="2845" w:type="pct"/>
                  <w:vAlign w:val="center"/>
                </w:tcPr>
                <w:p>
                  <w:pPr>
                    <w:pStyle w:val="76"/>
                    <w:rPr>
                      <w:rFonts w:ascii="Times New Roman" w:hAnsi="Times New Roman"/>
                      <w:sz w:val="21"/>
                      <w:szCs w:val="21"/>
                    </w:rPr>
                  </w:pPr>
                  <w:r>
                    <w:rPr>
                      <w:rFonts w:hint="eastAsia" w:ascii="Times New Roman" w:hAnsi="Times New Roman"/>
                      <w:sz w:val="21"/>
                      <w:szCs w:val="21"/>
                    </w:rPr>
                    <w:t>1套</w:t>
                  </w:r>
                  <w:r>
                    <w:rPr>
                      <w:rFonts w:ascii="Times New Roman" w:hAnsi="Times New Roman"/>
                      <w:sz w:val="21"/>
                      <w:szCs w:val="21"/>
                    </w:rPr>
                    <w:t>、</w:t>
                  </w:r>
                  <w:r>
                    <w:rPr>
                      <w:rFonts w:hint="eastAsia" w:ascii="Times New Roman" w:hAnsi="Times New Roman"/>
                      <w:sz w:val="21"/>
                      <w:szCs w:val="21"/>
                    </w:rPr>
                    <w:t>布置于破碎机、振动筛、下料口处</w:t>
                  </w:r>
                </w:p>
              </w:tc>
              <w:tc>
                <w:tcPr>
                  <w:tcW w:w="697" w:type="pct"/>
                  <w:vAlign w:val="center"/>
                </w:tcPr>
                <w:p>
                  <w:pPr>
                    <w:adjustRightInd w:val="0"/>
                    <w:snapToGrid w:val="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520" w:type="pct"/>
                  <w:vMerge w:val="continue"/>
                  <w:vAlign w:val="center"/>
                </w:tcPr>
                <w:p>
                  <w:pPr>
                    <w:adjustRightInd w:val="0"/>
                    <w:snapToGrid w:val="0"/>
                    <w:jc w:val="center"/>
                    <w:rPr>
                      <w:rFonts w:ascii="Times New Roman" w:hAnsi="Times New Roman" w:eastAsia="宋体" w:cs="Times New Roman"/>
                      <w:kern w:val="0"/>
                      <w:szCs w:val="21"/>
                    </w:rPr>
                  </w:pPr>
                </w:p>
              </w:tc>
              <w:tc>
                <w:tcPr>
                  <w:tcW w:w="318" w:type="pct"/>
                  <w:vMerge w:val="continue"/>
                  <w:vAlign w:val="center"/>
                </w:tcPr>
                <w:p>
                  <w:pPr>
                    <w:pStyle w:val="76"/>
                    <w:jc w:val="center"/>
                    <w:rPr>
                      <w:rFonts w:ascii="Times New Roman" w:hAnsi="Times New Roman"/>
                      <w:sz w:val="21"/>
                      <w:szCs w:val="21"/>
                    </w:rPr>
                  </w:pPr>
                </w:p>
              </w:tc>
              <w:tc>
                <w:tcPr>
                  <w:tcW w:w="617" w:type="pct"/>
                  <w:vAlign w:val="center"/>
                </w:tcPr>
                <w:p>
                  <w:pPr>
                    <w:pStyle w:val="76"/>
                    <w:jc w:val="center"/>
                    <w:rPr>
                      <w:rFonts w:ascii="Times New Roman" w:hAnsi="Times New Roman"/>
                      <w:sz w:val="21"/>
                      <w:szCs w:val="21"/>
                    </w:rPr>
                  </w:pPr>
                  <w:r>
                    <w:rPr>
                      <w:spacing w:val="6"/>
                      <w:sz w:val="21"/>
                      <w:szCs w:val="21"/>
                    </w:rPr>
                    <w:t>轮胎清</w:t>
                  </w:r>
                  <w:r>
                    <w:rPr>
                      <w:rFonts w:hint="eastAsia"/>
                      <w:spacing w:val="1"/>
                      <w:sz w:val="21"/>
                      <w:szCs w:val="21"/>
                    </w:rPr>
                    <w:t>、</w:t>
                  </w:r>
                  <w:r>
                    <w:rPr>
                      <w:spacing w:val="7"/>
                      <w:sz w:val="21"/>
                      <w:szCs w:val="21"/>
                    </w:rPr>
                    <w:t>洗水池</w:t>
                  </w:r>
                </w:p>
              </w:tc>
              <w:tc>
                <w:tcPr>
                  <w:tcW w:w="2845" w:type="pct"/>
                  <w:vAlign w:val="center"/>
                </w:tcPr>
                <w:p>
                  <w:pPr>
                    <w:pStyle w:val="76"/>
                    <w:rPr>
                      <w:rFonts w:ascii="Times New Roman" w:hAnsi="Times New Roman"/>
                      <w:sz w:val="21"/>
                      <w:szCs w:val="21"/>
                    </w:rPr>
                  </w:pPr>
                  <w:r>
                    <w:rPr>
                      <w:rFonts w:ascii="Times New Roman" w:hAnsi="Times New Roman" w:eastAsia="Times New Roman"/>
                      <w:spacing w:val="6"/>
                      <w:sz w:val="21"/>
                      <w:szCs w:val="21"/>
                    </w:rPr>
                    <w:t>1</w:t>
                  </w:r>
                  <w:r>
                    <w:rPr>
                      <w:spacing w:val="6"/>
                      <w:sz w:val="21"/>
                      <w:szCs w:val="21"/>
                    </w:rPr>
                    <w:t>座，容积</w:t>
                  </w:r>
                  <w:r>
                    <w:rPr>
                      <w:rFonts w:ascii="Times New Roman" w:hAnsi="Times New Roman" w:eastAsia="Times New Roman"/>
                      <w:spacing w:val="6"/>
                      <w:sz w:val="21"/>
                      <w:szCs w:val="21"/>
                    </w:rPr>
                    <w:t>30m</w:t>
                  </w:r>
                  <w:r>
                    <w:rPr>
                      <w:rFonts w:hint="eastAsia" w:ascii="Times New Roman" w:hAnsi="Times New Roman"/>
                      <w:spacing w:val="6"/>
                      <w:sz w:val="21"/>
                      <w:szCs w:val="21"/>
                      <w:vertAlign w:val="superscript"/>
                    </w:rPr>
                    <w:t>3</w:t>
                  </w:r>
                  <w:r>
                    <w:rPr>
                      <w:spacing w:val="6"/>
                      <w:sz w:val="21"/>
                      <w:szCs w:val="21"/>
                    </w:rPr>
                    <w:t>，位于厂区出入口，用于运输车</w:t>
                  </w:r>
                  <w:r>
                    <w:rPr>
                      <w:spacing w:val="8"/>
                      <w:sz w:val="21"/>
                      <w:szCs w:val="21"/>
                    </w:rPr>
                    <w:t>辆轮胎清洗及废水沉淀。</w:t>
                  </w:r>
                </w:p>
              </w:tc>
              <w:tc>
                <w:tcPr>
                  <w:tcW w:w="697" w:type="pct"/>
                  <w:vAlign w:val="center"/>
                </w:tcPr>
                <w:p>
                  <w:pPr>
                    <w:adjustRightInd w:val="0"/>
                    <w:snapToGrid w:val="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20" w:type="pct"/>
                  <w:vMerge w:val="continue"/>
                  <w:vAlign w:val="center"/>
                </w:tcPr>
                <w:p>
                  <w:pPr>
                    <w:adjustRightInd w:val="0"/>
                    <w:snapToGrid w:val="0"/>
                    <w:jc w:val="center"/>
                    <w:rPr>
                      <w:rFonts w:ascii="Times New Roman" w:hAnsi="Times New Roman" w:eastAsia="宋体" w:cs="Times New Roman"/>
                      <w:kern w:val="0"/>
                      <w:szCs w:val="21"/>
                    </w:rPr>
                  </w:pPr>
                </w:p>
              </w:tc>
              <w:tc>
                <w:tcPr>
                  <w:tcW w:w="318" w:type="pct"/>
                  <w:vMerge w:val="restart"/>
                  <w:vAlign w:val="center"/>
                </w:tcPr>
                <w:p>
                  <w:pPr>
                    <w:pStyle w:val="76"/>
                    <w:jc w:val="center"/>
                    <w:rPr>
                      <w:rFonts w:ascii="Times New Roman" w:hAnsi="Times New Roman"/>
                      <w:sz w:val="21"/>
                      <w:szCs w:val="21"/>
                    </w:rPr>
                  </w:pPr>
                  <w:r>
                    <w:rPr>
                      <w:rFonts w:ascii="Times New Roman" w:hAnsi="Times New Roman"/>
                      <w:sz w:val="21"/>
                      <w:szCs w:val="21"/>
                    </w:rPr>
                    <w:t>废水</w:t>
                  </w:r>
                </w:p>
              </w:tc>
              <w:tc>
                <w:tcPr>
                  <w:tcW w:w="617" w:type="pct"/>
                  <w:vAlign w:val="center"/>
                </w:tcPr>
                <w:p>
                  <w:pPr>
                    <w:pStyle w:val="76"/>
                    <w:jc w:val="center"/>
                    <w:rPr>
                      <w:rFonts w:ascii="Times New Roman" w:hAnsi="Times New Roman"/>
                      <w:sz w:val="21"/>
                      <w:szCs w:val="21"/>
                    </w:rPr>
                  </w:pPr>
                  <w:r>
                    <w:rPr>
                      <w:rFonts w:hint="eastAsia" w:ascii="Times New Roman" w:hAnsi="Times New Roman"/>
                      <w:sz w:val="21"/>
                      <w:szCs w:val="21"/>
                    </w:rPr>
                    <w:t>三级沉淀池</w:t>
                  </w:r>
                </w:p>
              </w:tc>
              <w:tc>
                <w:tcPr>
                  <w:tcW w:w="2845" w:type="pct"/>
                  <w:vAlign w:val="center"/>
                </w:tcPr>
                <w:p>
                  <w:pPr>
                    <w:pStyle w:val="76"/>
                    <w:rPr>
                      <w:rFonts w:ascii="Times New Roman" w:hAnsi="Times New Roman"/>
                      <w:sz w:val="21"/>
                      <w:szCs w:val="21"/>
                    </w:rPr>
                  </w:pPr>
                  <w:r>
                    <w:rPr>
                      <w:rFonts w:hint="eastAsia"/>
                      <w:spacing w:val="7"/>
                      <w:sz w:val="21"/>
                      <w:szCs w:val="21"/>
                    </w:rPr>
                    <w:t>1</w:t>
                  </w:r>
                  <w:r>
                    <w:rPr>
                      <w:spacing w:val="7"/>
                      <w:sz w:val="21"/>
                      <w:szCs w:val="21"/>
                    </w:rPr>
                    <w:t>个，容积</w:t>
                  </w:r>
                  <w:r>
                    <w:rPr>
                      <w:rFonts w:hint="eastAsia" w:ascii="Times New Roman" w:hAnsi="Times New Roman"/>
                      <w:spacing w:val="7"/>
                      <w:sz w:val="21"/>
                      <w:szCs w:val="21"/>
                    </w:rPr>
                    <w:t>1500</w:t>
                  </w:r>
                  <w:r>
                    <w:rPr>
                      <w:rFonts w:ascii="Times New Roman" w:hAnsi="Times New Roman" w:eastAsia="Times New Roman"/>
                      <w:spacing w:val="7"/>
                      <w:sz w:val="21"/>
                      <w:szCs w:val="21"/>
                    </w:rPr>
                    <w:t>m</w:t>
                  </w:r>
                  <w:r>
                    <w:rPr>
                      <w:rFonts w:hint="eastAsia" w:ascii="Times New Roman" w:hAnsi="Times New Roman"/>
                      <w:spacing w:val="7"/>
                      <w:sz w:val="21"/>
                      <w:szCs w:val="21"/>
                      <w:vertAlign w:val="superscript"/>
                    </w:rPr>
                    <w:t>3</w:t>
                  </w:r>
                  <w:r>
                    <w:rPr>
                      <w:rFonts w:ascii="Times New Roman" w:hAnsi="Times New Roman" w:eastAsia="Times New Roman"/>
                      <w:spacing w:val="7"/>
                      <w:sz w:val="21"/>
                      <w:szCs w:val="21"/>
                    </w:rPr>
                    <w:t>/</w:t>
                  </w:r>
                  <w:r>
                    <w:rPr>
                      <w:spacing w:val="7"/>
                      <w:sz w:val="21"/>
                      <w:szCs w:val="21"/>
                    </w:rPr>
                    <w:t>个，用于处理生</w:t>
                  </w:r>
                  <w:r>
                    <w:rPr>
                      <w:spacing w:val="6"/>
                      <w:sz w:val="21"/>
                      <w:szCs w:val="21"/>
                    </w:rPr>
                    <w:t>产废水。</w:t>
                  </w:r>
                </w:p>
              </w:tc>
              <w:tc>
                <w:tcPr>
                  <w:tcW w:w="697" w:type="pct"/>
                  <w:vAlign w:val="center"/>
                </w:tcPr>
                <w:p>
                  <w:pPr>
                    <w:adjustRightInd w:val="0"/>
                    <w:snapToGrid w:val="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20" w:type="pct"/>
                  <w:vMerge w:val="continue"/>
                  <w:vAlign w:val="center"/>
                </w:tcPr>
                <w:p>
                  <w:pPr>
                    <w:adjustRightInd w:val="0"/>
                    <w:snapToGrid w:val="0"/>
                    <w:jc w:val="center"/>
                    <w:rPr>
                      <w:rFonts w:ascii="Times New Roman" w:hAnsi="Times New Roman" w:eastAsia="宋体" w:cs="Times New Roman"/>
                      <w:kern w:val="0"/>
                      <w:szCs w:val="21"/>
                    </w:rPr>
                  </w:pPr>
                </w:p>
              </w:tc>
              <w:tc>
                <w:tcPr>
                  <w:tcW w:w="318" w:type="pct"/>
                  <w:vMerge w:val="continue"/>
                  <w:vAlign w:val="center"/>
                </w:tcPr>
                <w:p>
                  <w:pPr>
                    <w:pStyle w:val="76"/>
                    <w:jc w:val="center"/>
                    <w:rPr>
                      <w:rFonts w:ascii="Times New Roman" w:hAnsi="Times New Roman"/>
                      <w:sz w:val="21"/>
                      <w:szCs w:val="21"/>
                    </w:rPr>
                  </w:pPr>
                </w:p>
              </w:tc>
              <w:tc>
                <w:tcPr>
                  <w:tcW w:w="617" w:type="pct"/>
                  <w:vAlign w:val="center"/>
                </w:tcPr>
                <w:p>
                  <w:pPr>
                    <w:pStyle w:val="76"/>
                    <w:jc w:val="center"/>
                    <w:rPr>
                      <w:rFonts w:ascii="Times New Roman" w:hAnsi="Times New Roman"/>
                      <w:sz w:val="21"/>
                      <w:szCs w:val="21"/>
                    </w:rPr>
                  </w:pPr>
                  <w:r>
                    <w:rPr>
                      <w:rFonts w:hint="eastAsia" w:ascii="Times New Roman" w:hAnsi="Times New Roman"/>
                      <w:sz w:val="21"/>
                      <w:szCs w:val="21"/>
                    </w:rPr>
                    <w:t>初期雨水收集池</w:t>
                  </w:r>
                </w:p>
              </w:tc>
              <w:tc>
                <w:tcPr>
                  <w:tcW w:w="2845" w:type="pct"/>
                  <w:vAlign w:val="center"/>
                </w:tcPr>
                <w:p>
                  <w:pPr>
                    <w:pStyle w:val="76"/>
                    <w:rPr>
                      <w:rFonts w:ascii="Times New Roman" w:hAnsi="Times New Roman"/>
                      <w:sz w:val="21"/>
                      <w:szCs w:val="21"/>
                    </w:rPr>
                  </w:pPr>
                  <w:r>
                    <w:rPr>
                      <w:rFonts w:ascii="Times New Roman" w:hAnsi="Times New Roman" w:eastAsia="Times New Roman"/>
                      <w:spacing w:val="5"/>
                      <w:sz w:val="21"/>
                      <w:szCs w:val="21"/>
                    </w:rPr>
                    <w:t>1</w:t>
                  </w:r>
                  <w:r>
                    <w:rPr>
                      <w:spacing w:val="5"/>
                      <w:sz w:val="21"/>
                      <w:szCs w:val="21"/>
                    </w:rPr>
                    <w:t>座，容积</w:t>
                  </w:r>
                  <w:r>
                    <w:rPr>
                      <w:rFonts w:hint="eastAsia" w:ascii="Times New Roman" w:hAnsi="Times New Roman"/>
                      <w:spacing w:val="5"/>
                      <w:sz w:val="21"/>
                      <w:szCs w:val="21"/>
                    </w:rPr>
                    <w:t>100m</w:t>
                  </w:r>
                  <w:r>
                    <w:rPr>
                      <w:rFonts w:hint="eastAsia" w:ascii="Times New Roman" w:hAnsi="Times New Roman"/>
                      <w:spacing w:val="5"/>
                      <w:sz w:val="21"/>
                      <w:szCs w:val="21"/>
                      <w:vertAlign w:val="superscript"/>
                    </w:rPr>
                    <w:t>3</w:t>
                  </w:r>
                  <w:r>
                    <w:rPr>
                      <w:spacing w:val="5"/>
                      <w:sz w:val="21"/>
                      <w:szCs w:val="21"/>
                    </w:rPr>
                    <w:t>，位于厂区西侧地势较低处，用</w:t>
                  </w:r>
                  <w:r>
                    <w:rPr>
                      <w:spacing w:val="8"/>
                      <w:sz w:val="21"/>
                      <w:szCs w:val="21"/>
                    </w:rPr>
                    <w:t>于收集初期雨水，沉淀后回用于生产。</w:t>
                  </w:r>
                </w:p>
              </w:tc>
              <w:tc>
                <w:tcPr>
                  <w:tcW w:w="697" w:type="pct"/>
                  <w:vAlign w:val="center"/>
                </w:tcPr>
                <w:p>
                  <w:pPr>
                    <w:adjustRightInd w:val="0"/>
                    <w:snapToGrid w:val="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520" w:type="pct"/>
                  <w:vMerge w:val="continue"/>
                  <w:vAlign w:val="center"/>
                </w:tcPr>
                <w:p>
                  <w:pPr>
                    <w:adjustRightInd w:val="0"/>
                    <w:snapToGrid w:val="0"/>
                    <w:jc w:val="center"/>
                    <w:rPr>
                      <w:rFonts w:ascii="Times New Roman" w:hAnsi="Times New Roman" w:eastAsia="宋体" w:cs="Times New Roman"/>
                      <w:kern w:val="0"/>
                      <w:szCs w:val="21"/>
                    </w:rPr>
                  </w:pPr>
                </w:p>
              </w:tc>
              <w:tc>
                <w:tcPr>
                  <w:tcW w:w="318" w:type="pct"/>
                  <w:vMerge w:val="continue"/>
                  <w:vAlign w:val="center"/>
                </w:tcPr>
                <w:p>
                  <w:pPr>
                    <w:pStyle w:val="76"/>
                    <w:jc w:val="center"/>
                    <w:rPr>
                      <w:rFonts w:ascii="Times New Roman" w:hAnsi="Times New Roman"/>
                      <w:sz w:val="21"/>
                      <w:szCs w:val="21"/>
                    </w:rPr>
                  </w:pPr>
                </w:p>
              </w:tc>
              <w:tc>
                <w:tcPr>
                  <w:tcW w:w="617" w:type="pct"/>
                  <w:vAlign w:val="center"/>
                </w:tcPr>
                <w:p>
                  <w:pPr>
                    <w:pStyle w:val="76"/>
                    <w:jc w:val="center"/>
                    <w:rPr>
                      <w:rFonts w:ascii="Times New Roman" w:hAnsi="Times New Roman"/>
                      <w:sz w:val="21"/>
                      <w:szCs w:val="21"/>
                    </w:rPr>
                  </w:pPr>
                  <w:r>
                    <w:rPr>
                      <w:rFonts w:hint="eastAsia" w:ascii="Times New Roman" w:hAnsi="Times New Roman"/>
                      <w:sz w:val="21"/>
                      <w:szCs w:val="21"/>
                    </w:rPr>
                    <w:t>事故应急池</w:t>
                  </w:r>
                </w:p>
              </w:tc>
              <w:tc>
                <w:tcPr>
                  <w:tcW w:w="2845" w:type="pct"/>
                  <w:vAlign w:val="center"/>
                </w:tcPr>
                <w:p>
                  <w:pPr>
                    <w:pStyle w:val="76"/>
                    <w:rPr>
                      <w:rFonts w:ascii="Times New Roman" w:hAnsi="Times New Roman"/>
                      <w:sz w:val="21"/>
                      <w:szCs w:val="21"/>
                    </w:rPr>
                  </w:pPr>
                  <w:r>
                    <w:rPr>
                      <w:rFonts w:ascii="Times New Roman" w:hAnsi="Times New Roman" w:eastAsia="Times New Roman"/>
                      <w:spacing w:val="4"/>
                      <w:sz w:val="21"/>
                      <w:szCs w:val="21"/>
                    </w:rPr>
                    <w:t>1</w:t>
                  </w:r>
                  <w:r>
                    <w:rPr>
                      <w:spacing w:val="4"/>
                      <w:sz w:val="21"/>
                      <w:szCs w:val="21"/>
                    </w:rPr>
                    <w:t>座，容积</w:t>
                  </w:r>
                  <w:r>
                    <w:rPr>
                      <w:rFonts w:hint="eastAsia"/>
                      <w:spacing w:val="4"/>
                      <w:sz w:val="21"/>
                      <w:szCs w:val="21"/>
                    </w:rPr>
                    <w:t>250</w:t>
                  </w:r>
                  <w:r>
                    <w:rPr>
                      <w:rFonts w:ascii="Times New Roman" w:hAnsi="Times New Roman" w:eastAsia="Times New Roman"/>
                      <w:spacing w:val="4"/>
                      <w:sz w:val="21"/>
                      <w:szCs w:val="21"/>
                    </w:rPr>
                    <w:t>m</w:t>
                  </w:r>
                  <w:r>
                    <w:rPr>
                      <w:rFonts w:hint="eastAsia" w:ascii="Times New Roman" w:hAnsi="Times New Roman"/>
                      <w:spacing w:val="4"/>
                      <w:sz w:val="21"/>
                      <w:szCs w:val="21"/>
                      <w:vertAlign w:val="superscript"/>
                    </w:rPr>
                    <w:t>3</w:t>
                  </w:r>
                  <w:r>
                    <w:rPr>
                      <w:spacing w:val="4"/>
                      <w:sz w:val="21"/>
                      <w:szCs w:val="21"/>
                    </w:rPr>
                    <w:t>，用于事故废水。</w:t>
                  </w:r>
                </w:p>
              </w:tc>
              <w:tc>
                <w:tcPr>
                  <w:tcW w:w="697" w:type="pct"/>
                  <w:vAlign w:val="center"/>
                </w:tcPr>
                <w:p>
                  <w:pPr>
                    <w:adjustRightInd w:val="0"/>
                    <w:snapToGrid w:val="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520" w:type="pct"/>
                  <w:vMerge w:val="continue"/>
                  <w:vAlign w:val="center"/>
                </w:tcPr>
                <w:p>
                  <w:pPr>
                    <w:adjustRightInd w:val="0"/>
                    <w:snapToGrid w:val="0"/>
                    <w:jc w:val="center"/>
                    <w:rPr>
                      <w:rFonts w:ascii="Times New Roman" w:hAnsi="Times New Roman" w:eastAsia="宋体" w:cs="Times New Roman"/>
                      <w:kern w:val="0"/>
                      <w:szCs w:val="21"/>
                    </w:rPr>
                  </w:pPr>
                </w:p>
              </w:tc>
              <w:tc>
                <w:tcPr>
                  <w:tcW w:w="318" w:type="pct"/>
                  <w:vMerge w:val="continue"/>
                  <w:vAlign w:val="center"/>
                </w:tcPr>
                <w:p>
                  <w:pPr>
                    <w:pStyle w:val="76"/>
                    <w:jc w:val="center"/>
                    <w:rPr>
                      <w:rFonts w:ascii="Times New Roman" w:hAnsi="Times New Roman"/>
                      <w:sz w:val="21"/>
                      <w:szCs w:val="21"/>
                    </w:rPr>
                  </w:pPr>
                </w:p>
              </w:tc>
              <w:tc>
                <w:tcPr>
                  <w:tcW w:w="617" w:type="pct"/>
                  <w:vAlign w:val="center"/>
                </w:tcPr>
                <w:p>
                  <w:pPr>
                    <w:pStyle w:val="76"/>
                    <w:jc w:val="center"/>
                    <w:rPr>
                      <w:rFonts w:ascii="Times New Roman" w:hAnsi="Times New Roman"/>
                      <w:sz w:val="21"/>
                      <w:szCs w:val="21"/>
                    </w:rPr>
                  </w:pPr>
                  <w:r>
                    <w:rPr>
                      <w:rFonts w:hint="eastAsia" w:ascii="Times New Roman" w:hAnsi="Times New Roman"/>
                      <w:sz w:val="21"/>
                      <w:szCs w:val="21"/>
                    </w:rPr>
                    <w:t>成品堆放场渗滤液收集池</w:t>
                  </w:r>
                </w:p>
              </w:tc>
              <w:tc>
                <w:tcPr>
                  <w:tcW w:w="2845" w:type="pct"/>
                  <w:vAlign w:val="center"/>
                </w:tcPr>
                <w:p>
                  <w:pPr>
                    <w:pStyle w:val="76"/>
                    <w:rPr>
                      <w:rFonts w:ascii="Times New Roman" w:hAnsi="Times New Roman"/>
                      <w:sz w:val="21"/>
                      <w:szCs w:val="21"/>
                    </w:rPr>
                  </w:pPr>
                  <w:r>
                    <w:rPr>
                      <w:rFonts w:ascii="Times New Roman" w:hAnsi="Times New Roman" w:eastAsia="Times New Roman"/>
                      <w:spacing w:val="5"/>
                      <w:sz w:val="21"/>
                      <w:szCs w:val="21"/>
                    </w:rPr>
                    <w:t>1</w:t>
                  </w:r>
                  <w:r>
                    <w:rPr>
                      <w:spacing w:val="5"/>
                      <w:sz w:val="21"/>
                      <w:szCs w:val="21"/>
                    </w:rPr>
                    <w:t>座，容积约为</w:t>
                  </w:r>
                  <w:r>
                    <w:rPr>
                      <w:rFonts w:hint="eastAsia" w:ascii="Times New Roman" w:hAnsi="Times New Roman"/>
                      <w:spacing w:val="5"/>
                      <w:sz w:val="21"/>
                      <w:szCs w:val="21"/>
                    </w:rPr>
                    <w:t>1</w:t>
                  </w:r>
                  <w:r>
                    <w:rPr>
                      <w:rFonts w:ascii="Times New Roman" w:hAnsi="Times New Roman" w:eastAsia="Times New Roman"/>
                      <w:spacing w:val="5"/>
                      <w:sz w:val="21"/>
                      <w:szCs w:val="21"/>
                    </w:rPr>
                    <w:t>0m</w:t>
                  </w:r>
                  <w:r>
                    <w:rPr>
                      <w:rFonts w:hint="eastAsia" w:ascii="Times New Roman" w:hAnsi="Times New Roman"/>
                      <w:spacing w:val="5"/>
                      <w:sz w:val="21"/>
                      <w:szCs w:val="21"/>
                      <w:vertAlign w:val="superscript"/>
                    </w:rPr>
                    <w:t>3</w:t>
                  </w:r>
                  <w:r>
                    <w:rPr>
                      <w:spacing w:val="5"/>
                      <w:sz w:val="21"/>
                      <w:szCs w:val="21"/>
                    </w:rPr>
                    <w:t>，用于收集</w:t>
                  </w:r>
                  <w:r>
                    <w:rPr>
                      <w:rFonts w:hint="eastAsia" w:ascii="Times New Roman" w:hAnsi="Times New Roman"/>
                      <w:sz w:val="21"/>
                      <w:szCs w:val="21"/>
                    </w:rPr>
                    <w:t>成品堆放场产生的渗滤液</w:t>
                  </w:r>
                </w:p>
              </w:tc>
              <w:tc>
                <w:tcPr>
                  <w:tcW w:w="697" w:type="pct"/>
                  <w:vAlign w:val="center"/>
                </w:tcPr>
                <w:p>
                  <w:pPr>
                    <w:adjustRightInd w:val="0"/>
                    <w:snapToGrid w:val="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520" w:type="pct"/>
                  <w:vMerge w:val="continue"/>
                  <w:vAlign w:val="center"/>
                </w:tcPr>
                <w:p>
                  <w:pPr>
                    <w:adjustRightInd w:val="0"/>
                    <w:snapToGrid w:val="0"/>
                    <w:jc w:val="center"/>
                    <w:rPr>
                      <w:rFonts w:ascii="Times New Roman" w:hAnsi="Times New Roman" w:eastAsia="宋体" w:cs="Times New Roman"/>
                      <w:kern w:val="0"/>
                      <w:szCs w:val="21"/>
                    </w:rPr>
                  </w:pPr>
                </w:p>
              </w:tc>
              <w:tc>
                <w:tcPr>
                  <w:tcW w:w="318" w:type="pct"/>
                  <w:vMerge w:val="continue"/>
                  <w:vAlign w:val="center"/>
                </w:tcPr>
                <w:p>
                  <w:pPr>
                    <w:pStyle w:val="76"/>
                    <w:jc w:val="center"/>
                    <w:rPr>
                      <w:rFonts w:ascii="Times New Roman" w:hAnsi="Times New Roman"/>
                      <w:sz w:val="21"/>
                      <w:szCs w:val="21"/>
                    </w:rPr>
                  </w:pPr>
                </w:p>
              </w:tc>
              <w:tc>
                <w:tcPr>
                  <w:tcW w:w="617" w:type="pct"/>
                  <w:vAlign w:val="center"/>
                </w:tcPr>
                <w:p>
                  <w:pPr>
                    <w:pStyle w:val="76"/>
                    <w:jc w:val="center"/>
                    <w:rPr>
                      <w:rFonts w:ascii="Times New Roman" w:hAnsi="Times New Roman"/>
                      <w:sz w:val="21"/>
                      <w:szCs w:val="21"/>
                    </w:rPr>
                  </w:pPr>
                  <w:r>
                    <w:rPr>
                      <w:rFonts w:hint="eastAsia" w:ascii="Times New Roman" w:hAnsi="Times New Roman"/>
                      <w:sz w:val="21"/>
                      <w:szCs w:val="21"/>
                    </w:rPr>
                    <w:t>污泥堆放场渗滤液收集池</w:t>
                  </w:r>
                </w:p>
              </w:tc>
              <w:tc>
                <w:tcPr>
                  <w:tcW w:w="2845" w:type="pct"/>
                  <w:vAlign w:val="center"/>
                </w:tcPr>
                <w:p>
                  <w:pPr>
                    <w:pStyle w:val="76"/>
                    <w:rPr>
                      <w:rFonts w:ascii="Times New Roman" w:hAnsi="Times New Roman" w:eastAsia="Times New Roman"/>
                      <w:spacing w:val="5"/>
                      <w:sz w:val="21"/>
                      <w:szCs w:val="21"/>
                    </w:rPr>
                  </w:pPr>
                  <w:r>
                    <w:rPr>
                      <w:rFonts w:ascii="Times New Roman" w:hAnsi="Times New Roman" w:eastAsia="Times New Roman"/>
                      <w:spacing w:val="5"/>
                      <w:sz w:val="21"/>
                      <w:szCs w:val="21"/>
                    </w:rPr>
                    <w:t>1</w:t>
                  </w:r>
                  <w:r>
                    <w:rPr>
                      <w:spacing w:val="5"/>
                      <w:sz w:val="21"/>
                      <w:szCs w:val="21"/>
                    </w:rPr>
                    <w:t>座，容积约为</w:t>
                  </w:r>
                  <w:r>
                    <w:rPr>
                      <w:rFonts w:hint="eastAsia" w:ascii="Times New Roman" w:hAnsi="Times New Roman"/>
                      <w:spacing w:val="5"/>
                      <w:sz w:val="21"/>
                      <w:szCs w:val="21"/>
                    </w:rPr>
                    <w:t>1</w:t>
                  </w:r>
                  <w:r>
                    <w:rPr>
                      <w:rFonts w:ascii="Times New Roman" w:hAnsi="Times New Roman" w:eastAsia="Times New Roman"/>
                      <w:spacing w:val="5"/>
                      <w:sz w:val="21"/>
                      <w:szCs w:val="21"/>
                    </w:rPr>
                    <w:t>0m</w:t>
                  </w:r>
                  <w:r>
                    <w:rPr>
                      <w:rFonts w:hint="eastAsia" w:ascii="Times New Roman" w:hAnsi="Times New Roman"/>
                      <w:spacing w:val="5"/>
                      <w:sz w:val="21"/>
                      <w:szCs w:val="21"/>
                      <w:vertAlign w:val="superscript"/>
                    </w:rPr>
                    <w:t>3</w:t>
                  </w:r>
                  <w:r>
                    <w:rPr>
                      <w:spacing w:val="5"/>
                      <w:sz w:val="21"/>
                      <w:szCs w:val="21"/>
                    </w:rPr>
                    <w:t>，用于收集</w:t>
                  </w:r>
                  <w:r>
                    <w:rPr>
                      <w:rFonts w:hint="eastAsia" w:ascii="Times New Roman" w:hAnsi="Times New Roman"/>
                      <w:sz w:val="21"/>
                      <w:szCs w:val="21"/>
                    </w:rPr>
                    <w:t>污泥堆放场产生的渗滤液</w:t>
                  </w:r>
                </w:p>
              </w:tc>
              <w:tc>
                <w:tcPr>
                  <w:tcW w:w="697" w:type="pct"/>
                  <w:vAlign w:val="center"/>
                </w:tcPr>
                <w:p>
                  <w:pPr>
                    <w:adjustRightInd w:val="0"/>
                    <w:snapToGrid w:val="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520" w:type="pct"/>
                  <w:vMerge w:val="continue"/>
                  <w:vAlign w:val="center"/>
                </w:tcPr>
                <w:p>
                  <w:pPr>
                    <w:adjustRightInd w:val="0"/>
                    <w:snapToGrid w:val="0"/>
                    <w:jc w:val="center"/>
                    <w:rPr>
                      <w:rFonts w:ascii="Times New Roman" w:hAnsi="Times New Roman" w:eastAsia="宋体" w:cs="Times New Roman"/>
                      <w:kern w:val="0"/>
                      <w:szCs w:val="21"/>
                    </w:rPr>
                  </w:pPr>
                </w:p>
              </w:tc>
              <w:tc>
                <w:tcPr>
                  <w:tcW w:w="318" w:type="pct"/>
                  <w:vMerge w:val="continue"/>
                  <w:vAlign w:val="center"/>
                </w:tcPr>
                <w:p>
                  <w:pPr>
                    <w:pStyle w:val="76"/>
                    <w:jc w:val="center"/>
                    <w:rPr>
                      <w:rFonts w:ascii="Times New Roman" w:hAnsi="Times New Roman"/>
                      <w:sz w:val="21"/>
                      <w:szCs w:val="21"/>
                    </w:rPr>
                  </w:pPr>
                </w:p>
              </w:tc>
              <w:tc>
                <w:tcPr>
                  <w:tcW w:w="617" w:type="pct"/>
                  <w:vAlign w:val="center"/>
                </w:tcPr>
                <w:p>
                  <w:pPr>
                    <w:pStyle w:val="76"/>
                    <w:jc w:val="center"/>
                    <w:rPr>
                      <w:rFonts w:ascii="Times New Roman" w:hAnsi="Times New Roman"/>
                      <w:sz w:val="21"/>
                      <w:szCs w:val="21"/>
                    </w:rPr>
                  </w:pPr>
                  <w:r>
                    <w:rPr>
                      <w:rFonts w:hint="eastAsia" w:ascii="Times New Roman" w:hAnsi="Times New Roman"/>
                      <w:sz w:val="21"/>
                      <w:szCs w:val="21"/>
                    </w:rPr>
                    <w:t>三级化粪池</w:t>
                  </w:r>
                </w:p>
              </w:tc>
              <w:tc>
                <w:tcPr>
                  <w:tcW w:w="2845" w:type="pct"/>
                  <w:vAlign w:val="center"/>
                </w:tcPr>
                <w:p>
                  <w:pPr>
                    <w:pStyle w:val="76"/>
                    <w:rPr>
                      <w:rFonts w:ascii="Times New Roman" w:hAnsi="Times New Roman" w:eastAsia="Times New Roman"/>
                      <w:spacing w:val="5"/>
                      <w:sz w:val="21"/>
                      <w:szCs w:val="21"/>
                    </w:rPr>
                  </w:pPr>
                  <w:r>
                    <w:rPr>
                      <w:rFonts w:ascii="Times New Roman" w:hAnsi="Times New Roman" w:eastAsia="Times New Roman"/>
                      <w:spacing w:val="5"/>
                      <w:sz w:val="21"/>
                      <w:szCs w:val="21"/>
                    </w:rPr>
                    <w:t>1</w:t>
                  </w:r>
                  <w:r>
                    <w:rPr>
                      <w:spacing w:val="5"/>
                      <w:sz w:val="21"/>
                      <w:szCs w:val="21"/>
                    </w:rPr>
                    <w:t>座，容积</w:t>
                  </w:r>
                  <w:r>
                    <w:rPr>
                      <w:rFonts w:hint="eastAsia"/>
                      <w:spacing w:val="5"/>
                      <w:sz w:val="21"/>
                      <w:szCs w:val="21"/>
                    </w:rPr>
                    <w:t>20</w:t>
                  </w:r>
                  <w:r>
                    <w:rPr>
                      <w:rFonts w:ascii="Times New Roman" w:hAnsi="Times New Roman" w:eastAsia="Times New Roman"/>
                      <w:spacing w:val="5"/>
                      <w:sz w:val="21"/>
                      <w:szCs w:val="21"/>
                    </w:rPr>
                    <w:t>m</w:t>
                  </w:r>
                  <w:r>
                    <w:rPr>
                      <w:rFonts w:hint="eastAsia" w:ascii="Times New Roman" w:hAnsi="Times New Roman"/>
                      <w:spacing w:val="5"/>
                      <w:sz w:val="21"/>
                      <w:szCs w:val="21"/>
                      <w:vertAlign w:val="superscript"/>
                    </w:rPr>
                    <w:t>3</w:t>
                  </w:r>
                  <w:r>
                    <w:rPr>
                      <w:spacing w:val="5"/>
                      <w:sz w:val="21"/>
                      <w:szCs w:val="21"/>
                    </w:rPr>
                    <w:t>，用于处理</w:t>
                  </w:r>
                  <w:r>
                    <w:rPr>
                      <w:rFonts w:hint="eastAsia"/>
                      <w:spacing w:val="5"/>
                      <w:sz w:val="21"/>
                      <w:szCs w:val="21"/>
                    </w:rPr>
                    <w:t>生活污</w:t>
                  </w:r>
                  <w:r>
                    <w:rPr>
                      <w:spacing w:val="5"/>
                      <w:sz w:val="21"/>
                      <w:szCs w:val="21"/>
                    </w:rPr>
                    <w:t>水。</w:t>
                  </w:r>
                </w:p>
              </w:tc>
              <w:tc>
                <w:tcPr>
                  <w:tcW w:w="697" w:type="pct"/>
                  <w:vAlign w:val="center"/>
                </w:tcPr>
                <w:p>
                  <w:pPr>
                    <w:adjustRightInd w:val="0"/>
                    <w:snapToGrid w:val="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520" w:type="pct"/>
                  <w:vMerge w:val="continue"/>
                  <w:vAlign w:val="center"/>
                </w:tcPr>
                <w:p>
                  <w:pPr>
                    <w:adjustRightInd w:val="0"/>
                    <w:snapToGrid w:val="0"/>
                    <w:jc w:val="center"/>
                    <w:rPr>
                      <w:rFonts w:ascii="Times New Roman" w:hAnsi="Times New Roman" w:eastAsia="宋体" w:cs="Times New Roman"/>
                      <w:kern w:val="0"/>
                      <w:szCs w:val="21"/>
                    </w:rPr>
                  </w:pPr>
                </w:p>
              </w:tc>
              <w:tc>
                <w:tcPr>
                  <w:tcW w:w="936" w:type="pct"/>
                  <w:gridSpan w:val="2"/>
                  <w:vAlign w:val="center"/>
                </w:tcPr>
                <w:p>
                  <w:pPr>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噪声</w:t>
                  </w:r>
                </w:p>
              </w:tc>
              <w:tc>
                <w:tcPr>
                  <w:tcW w:w="2845" w:type="pct"/>
                  <w:vAlign w:val="center"/>
                </w:tcPr>
                <w:p>
                  <w:pPr>
                    <w:adjustRightInd w:val="0"/>
                    <w:snapToGrid w:val="0"/>
                    <w:jc w:val="left"/>
                    <w:rPr>
                      <w:rFonts w:ascii="Times New Roman" w:hAnsi="Times New Roman" w:eastAsia="宋体" w:cs="Times New Roman"/>
                      <w:kern w:val="0"/>
                      <w:szCs w:val="21"/>
                    </w:rPr>
                  </w:pPr>
                  <w:r>
                    <w:rPr>
                      <w:rFonts w:ascii="Times New Roman" w:hAnsi="Times New Roman" w:eastAsia="宋体" w:cs="Times New Roman"/>
                      <w:kern w:val="0"/>
                      <w:szCs w:val="21"/>
                    </w:rPr>
                    <w:t>强噪声源安装</w:t>
                  </w:r>
                  <w:r>
                    <w:rPr>
                      <w:rFonts w:hint="eastAsia" w:ascii="Times New Roman" w:hAnsi="Times New Roman" w:eastAsia="宋体" w:cs="Times New Roman"/>
                      <w:kern w:val="0"/>
                      <w:szCs w:val="21"/>
                    </w:rPr>
                    <w:t>减振</w:t>
                  </w:r>
                  <w:r>
                    <w:rPr>
                      <w:rFonts w:ascii="Times New Roman" w:hAnsi="Times New Roman" w:eastAsia="宋体" w:cs="Times New Roman"/>
                      <w:kern w:val="0"/>
                      <w:szCs w:val="21"/>
                    </w:rPr>
                    <w:t>垫，对机械设备进行定期维护和保养</w:t>
                  </w:r>
                </w:p>
              </w:tc>
              <w:tc>
                <w:tcPr>
                  <w:tcW w:w="697" w:type="pct"/>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520" w:type="pct"/>
                  <w:vMerge w:val="continue"/>
                  <w:vAlign w:val="center"/>
                </w:tcPr>
                <w:p>
                  <w:pPr>
                    <w:adjustRightInd w:val="0"/>
                    <w:snapToGrid w:val="0"/>
                    <w:jc w:val="center"/>
                    <w:rPr>
                      <w:rFonts w:ascii="Times New Roman" w:hAnsi="Times New Roman" w:eastAsia="宋体" w:cs="Times New Roman"/>
                      <w:kern w:val="0"/>
                      <w:szCs w:val="21"/>
                    </w:rPr>
                  </w:pPr>
                </w:p>
              </w:tc>
              <w:tc>
                <w:tcPr>
                  <w:tcW w:w="936" w:type="pct"/>
                  <w:gridSpan w:val="2"/>
                  <w:vAlign w:val="center"/>
                </w:tcPr>
                <w:p>
                  <w:pPr>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固体废物</w:t>
                  </w:r>
                </w:p>
              </w:tc>
              <w:tc>
                <w:tcPr>
                  <w:tcW w:w="2845" w:type="pct"/>
                  <w:vAlign w:val="center"/>
                </w:tcPr>
                <w:p>
                  <w:pPr>
                    <w:tabs>
                      <w:tab w:val="left" w:pos="1597"/>
                      <w:tab w:val="center" w:pos="2601"/>
                    </w:tabs>
                    <w:adjustRightInd w:val="0"/>
                    <w:snapToGrid w:val="0"/>
                    <w:jc w:val="left"/>
                    <w:rPr>
                      <w:rFonts w:ascii="Times New Roman" w:hAnsi="Times New Roman" w:eastAsia="宋体" w:cs="Times New Roman"/>
                      <w:kern w:val="0"/>
                      <w:szCs w:val="21"/>
                    </w:rPr>
                  </w:pPr>
                  <w:r>
                    <w:rPr>
                      <w:rFonts w:ascii="Times New Roman" w:hAnsi="Times New Roman" w:eastAsia="宋体" w:cs="Times New Roman"/>
                      <w:kern w:val="0"/>
                      <w:szCs w:val="21"/>
                    </w:rPr>
                    <w:t>1、生活垃圾收集桶</w:t>
                  </w:r>
                  <w:r>
                    <w:rPr>
                      <w:rFonts w:hint="eastAsia" w:ascii="Times New Roman" w:hAnsi="Times New Roman" w:eastAsia="宋体" w:cs="Times New Roman"/>
                      <w:kern w:val="0"/>
                      <w:szCs w:val="21"/>
                    </w:rPr>
                    <w:t>若干</w:t>
                  </w:r>
                </w:p>
                <w:p>
                  <w:pPr>
                    <w:adjustRightInd w:val="0"/>
                    <w:snapToGrid w:val="0"/>
                    <w:rPr>
                      <w:rFonts w:ascii="Times New Roman" w:hAnsi="Times New Roman" w:eastAsia="宋体" w:cs="Times New Roman"/>
                      <w:kern w:val="0"/>
                      <w:szCs w:val="21"/>
                    </w:rPr>
                  </w:pPr>
                  <w:r>
                    <w:rPr>
                      <w:rFonts w:ascii="Times New Roman" w:hAnsi="Times New Roman" w:eastAsia="宋体" w:cs="Times New Roman"/>
                      <w:kern w:val="0"/>
                      <w:szCs w:val="21"/>
                    </w:rPr>
                    <w:t>2、</w:t>
                  </w:r>
                  <w:r>
                    <w:rPr>
                      <w:rFonts w:hint="eastAsia" w:ascii="Times New Roman" w:hAnsi="Times New Roman" w:eastAsia="宋体" w:cs="Times New Roman"/>
                      <w:kern w:val="0"/>
                      <w:szCs w:val="21"/>
                    </w:rPr>
                    <w:t>危废暂存间10m</w:t>
                  </w:r>
                  <w:r>
                    <w:rPr>
                      <w:rFonts w:hint="eastAsia" w:ascii="Times New Roman" w:hAnsi="Times New Roman" w:eastAsia="宋体" w:cs="Times New Roman"/>
                      <w:kern w:val="0"/>
                      <w:szCs w:val="21"/>
                      <w:vertAlign w:val="superscript"/>
                    </w:rPr>
                    <w:t>2</w:t>
                  </w:r>
                </w:p>
              </w:tc>
              <w:tc>
                <w:tcPr>
                  <w:tcW w:w="697" w:type="pct"/>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w:t>
                  </w:r>
                </w:p>
              </w:tc>
            </w:tr>
          </w:tbl>
          <w:p>
            <w:pPr>
              <w:pStyle w:val="11"/>
              <w:rPr>
                <w:rFonts w:ascii="Times New Roman" w:hAnsi="Times New Roman" w:eastAsia="宋体" w:cs="Times New Roman"/>
                <w:b/>
                <w:kern w:val="0"/>
                <w:szCs w:val="21"/>
              </w:rPr>
            </w:pPr>
          </w:p>
          <w:p>
            <w:pPr>
              <w:widowControl/>
              <w:spacing w:line="360" w:lineRule="auto"/>
              <w:ind w:firstLine="482" w:firstLineChars="200"/>
              <w:rPr>
                <w:rFonts w:ascii="Times New Roman" w:hAnsi="Times New Roman" w:eastAsia="宋体" w:cs="Times New Roman"/>
                <w:b/>
                <w:sz w:val="24"/>
              </w:rPr>
            </w:pPr>
            <w:r>
              <w:rPr>
                <w:rFonts w:ascii="Times New Roman" w:hAnsi="Times New Roman" w:eastAsia="宋体" w:cs="Times New Roman"/>
                <w:b/>
                <w:sz w:val="24"/>
                <w:lang w:bidi="ar"/>
              </w:rPr>
              <w:t>3、原辅材料使用情况</w:t>
            </w:r>
          </w:p>
          <w:p>
            <w:pPr>
              <w:widowControl/>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lang w:bidi="ar"/>
              </w:rPr>
              <w:t>项目原辅料使用情况详见表2-2所示。</w:t>
            </w:r>
          </w:p>
          <w:p>
            <w:pPr>
              <w:widowControl/>
              <w:adjustRightInd w:val="0"/>
              <w:snapToGrid w:val="0"/>
              <w:jc w:val="center"/>
              <w:textAlignment w:val="baseline"/>
              <w:rPr>
                <w:rFonts w:ascii="Times New Roman" w:hAnsi="Times New Roman" w:eastAsia="宋体" w:cs="Times New Roman"/>
                <w:b/>
                <w:szCs w:val="21"/>
              </w:rPr>
            </w:pPr>
            <w:r>
              <w:rPr>
                <w:rFonts w:ascii="Times New Roman" w:hAnsi="Times New Roman" w:eastAsia="宋体" w:cs="Times New Roman"/>
                <w:b/>
                <w:szCs w:val="21"/>
                <w:lang w:bidi="ar"/>
              </w:rPr>
              <w:t>表2-2 主要原辅料消耗情况一览表</w:t>
            </w:r>
          </w:p>
          <w:tbl>
            <w:tblPr>
              <w:tblStyle w:val="2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734"/>
              <w:gridCol w:w="1227"/>
              <w:gridCol w:w="2367"/>
              <w:gridCol w:w="1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2" w:type="pct"/>
                  <w:vAlign w:val="center"/>
                </w:tcPr>
                <w:p>
                  <w:pPr>
                    <w:adjustRightInd w:val="0"/>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序号</w:t>
                  </w:r>
                </w:p>
              </w:tc>
              <w:tc>
                <w:tcPr>
                  <w:tcW w:w="1107" w:type="pct"/>
                  <w:vAlign w:val="center"/>
                </w:tcPr>
                <w:p>
                  <w:pPr>
                    <w:adjustRightInd w:val="0"/>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材料名称</w:t>
                  </w:r>
                </w:p>
              </w:tc>
              <w:tc>
                <w:tcPr>
                  <w:tcW w:w="783" w:type="pct"/>
                  <w:vAlign w:val="center"/>
                </w:tcPr>
                <w:p>
                  <w:pPr>
                    <w:adjustRightInd w:val="0"/>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单位</w:t>
                  </w:r>
                </w:p>
              </w:tc>
              <w:tc>
                <w:tcPr>
                  <w:tcW w:w="1511" w:type="pct"/>
                  <w:vAlign w:val="center"/>
                </w:tcPr>
                <w:p>
                  <w:pPr>
                    <w:adjustRightInd w:val="0"/>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数量</w:t>
                  </w:r>
                </w:p>
              </w:tc>
              <w:tc>
                <w:tcPr>
                  <w:tcW w:w="1136" w:type="pct"/>
                  <w:vAlign w:val="center"/>
                </w:tcPr>
                <w:p>
                  <w:pPr>
                    <w:adjustRightInd w:val="0"/>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00" w:type="pct"/>
                  <w:gridSpan w:val="5"/>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b/>
                      <w:bCs/>
                      <w:szCs w:val="21"/>
                    </w:rPr>
                    <w:t>一、原辅料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2" w:type="pct"/>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1</w:t>
                  </w:r>
                </w:p>
              </w:tc>
              <w:tc>
                <w:tcPr>
                  <w:tcW w:w="1107" w:type="pct"/>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砂石料</w:t>
                  </w:r>
                </w:p>
              </w:tc>
              <w:tc>
                <w:tcPr>
                  <w:tcW w:w="783" w:type="pct"/>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m</w:t>
                  </w:r>
                  <w:r>
                    <w:rPr>
                      <w:rFonts w:hint="eastAsia" w:ascii="Times New Roman" w:hAnsi="Times New Roman" w:eastAsia="宋体" w:cs="Times New Roman"/>
                      <w:szCs w:val="21"/>
                      <w:vertAlign w:val="superscript"/>
                    </w:rPr>
                    <w:t>3</w:t>
                  </w:r>
                  <w:r>
                    <w:rPr>
                      <w:rFonts w:ascii="Times New Roman" w:hAnsi="Times New Roman" w:eastAsia="宋体" w:cs="Times New Roman"/>
                      <w:szCs w:val="21"/>
                    </w:rPr>
                    <w:t>/a</w:t>
                  </w:r>
                </w:p>
              </w:tc>
              <w:tc>
                <w:tcPr>
                  <w:tcW w:w="1511" w:type="pct"/>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100万</w:t>
                  </w:r>
                  <w:r>
                    <w:rPr>
                      <w:rFonts w:hint="eastAsia" w:ascii="Times New Roman" w:hAnsi="Times New Roman" w:eastAsia="宋体" w:cs="Times New Roman"/>
                      <w:kern w:val="0"/>
                      <w:sz w:val="24"/>
                      <w:szCs w:val="20"/>
                    </w:rPr>
                    <w:t>（</w:t>
                  </w:r>
                  <w:r>
                    <w:rPr>
                      <w:rFonts w:hint="eastAsia" w:ascii="Times New Roman" w:hAnsi="Times New Roman" w:eastAsia="宋体" w:cs="Times New Roman"/>
                      <w:kern w:val="0"/>
                      <w:szCs w:val="21"/>
                    </w:rPr>
                    <w:t>密度1500kg/m</w:t>
                  </w:r>
                  <w:r>
                    <w:rPr>
                      <w:rFonts w:hint="eastAsia" w:ascii="Times New Roman" w:hAnsi="Times New Roman" w:eastAsia="宋体" w:cs="Times New Roman"/>
                      <w:kern w:val="0"/>
                      <w:szCs w:val="21"/>
                      <w:vertAlign w:val="superscript"/>
                    </w:rPr>
                    <w:t>3</w:t>
                  </w:r>
                  <w:r>
                    <w:rPr>
                      <w:rFonts w:hint="eastAsia" w:ascii="Times New Roman" w:hAnsi="Times New Roman" w:eastAsia="宋体" w:cs="Times New Roman"/>
                      <w:kern w:val="0"/>
                      <w:szCs w:val="21"/>
                    </w:rPr>
                    <w:t>计，150万</w:t>
                  </w:r>
                  <w:r>
                    <w:rPr>
                      <w:rFonts w:ascii="Times New Roman" w:hAnsi="Times New Roman" w:eastAsia="宋体" w:cs="Times New Roman"/>
                      <w:kern w:val="0"/>
                      <w:szCs w:val="21"/>
                    </w:rPr>
                    <w:t>t/a</w:t>
                  </w:r>
                  <w:r>
                    <w:rPr>
                      <w:rFonts w:hint="eastAsia" w:ascii="Times New Roman" w:hAnsi="Times New Roman" w:eastAsia="宋体" w:cs="Times New Roman"/>
                      <w:kern w:val="0"/>
                      <w:szCs w:val="21"/>
                    </w:rPr>
                    <w:t>，含水率8%）</w:t>
                  </w:r>
                </w:p>
              </w:tc>
              <w:tc>
                <w:tcPr>
                  <w:tcW w:w="1136" w:type="pct"/>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外购</w:t>
                  </w:r>
                  <w:r>
                    <w:rPr>
                      <w:rFonts w:hint="eastAsia" w:ascii="Times New Roman" w:hAnsi="Times New Roman" w:eastAsia="宋体" w:cs="Times New Roman"/>
                      <w:szCs w:val="21"/>
                    </w:rPr>
                    <w:t>当地砂石厂废土石、高速路开挖废土石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2" w:type="pct"/>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2</w:t>
                  </w:r>
                </w:p>
              </w:tc>
              <w:tc>
                <w:tcPr>
                  <w:tcW w:w="1107" w:type="pct"/>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润滑油</w:t>
                  </w:r>
                </w:p>
              </w:tc>
              <w:tc>
                <w:tcPr>
                  <w:tcW w:w="783" w:type="pct"/>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t/a</w:t>
                  </w:r>
                </w:p>
              </w:tc>
              <w:tc>
                <w:tcPr>
                  <w:tcW w:w="1511" w:type="pct"/>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1</w:t>
                  </w:r>
                </w:p>
              </w:tc>
              <w:tc>
                <w:tcPr>
                  <w:tcW w:w="1136" w:type="pct"/>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2" w:type="pct"/>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3</w:t>
                  </w:r>
                </w:p>
              </w:tc>
              <w:tc>
                <w:tcPr>
                  <w:tcW w:w="1107" w:type="pct"/>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絮凝剂（PAM、PAC）</w:t>
                  </w:r>
                </w:p>
              </w:tc>
              <w:tc>
                <w:tcPr>
                  <w:tcW w:w="783" w:type="pct"/>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t/a</w:t>
                  </w:r>
                </w:p>
              </w:tc>
              <w:tc>
                <w:tcPr>
                  <w:tcW w:w="1511" w:type="pct"/>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2</w:t>
                  </w:r>
                </w:p>
              </w:tc>
              <w:tc>
                <w:tcPr>
                  <w:tcW w:w="1136" w:type="pct"/>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00" w:type="pct"/>
                  <w:gridSpan w:val="5"/>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b/>
                      <w:bCs/>
                      <w:szCs w:val="21"/>
                    </w:rPr>
                    <w:t>二、能源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462" w:type="pct"/>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3</w:t>
                  </w:r>
                </w:p>
              </w:tc>
              <w:tc>
                <w:tcPr>
                  <w:tcW w:w="1107" w:type="pct"/>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水</w:t>
                  </w:r>
                </w:p>
              </w:tc>
              <w:tc>
                <w:tcPr>
                  <w:tcW w:w="783" w:type="pct"/>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万</w:t>
                  </w:r>
                  <w:r>
                    <w:rPr>
                      <w:rFonts w:ascii="Times New Roman" w:hAnsi="Times New Roman" w:eastAsia="宋体" w:cs="Times New Roman"/>
                      <w:szCs w:val="21"/>
                    </w:rPr>
                    <w:t>m</w:t>
                  </w:r>
                  <w:r>
                    <w:rPr>
                      <w:rFonts w:ascii="Times New Roman" w:hAnsi="Times New Roman" w:eastAsia="宋体" w:cs="Times New Roman"/>
                      <w:szCs w:val="21"/>
                      <w:vertAlign w:val="superscript"/>
                    </w:rPr>
                    <w:t>3</w:t>
                  </w:r>
                  <w:r>
                    <w:rPr>
                      <w:rFonts w:ascii="Times New Roman" w:hAnsi="Times New Roman" w:eastAsia="宋体" w:cs="Times New Roman"/>
                      <w:szCs w:val="21"/>
                    </w:rPr>
                    <w:t>/a</w:t>
                  </w:r>
                </w:p>
              </w:tc>
              <w:tc>
                <w:tcPr>
                  <w:tcW w:w="1511" w:type="pct"/>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60.348</w:t>
                  </w:r>
                </w:p>
              </w:tc>
              <w:tc>
                <w:tcPr>
                  <w:tcW w:w="1136" w:type="pct"/>
                  <w:vMerge w:val="restart"/>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lang w:val="zh-CN"/>
                    </w:rPr>
                    <w:t>云县爱华镇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2" w:type="pct"/>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4</w:t>
                  </w:r>
                </w:p>
              </w:tc>
              <w:tc>
                <w:tcPr>
                  <w:tcW w:w="1107" w:type="pct"/>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电</w:t>
                  </w:r>
                </w:p>
              </w:tc>
              <w:tc>
                <w:tcPr>
                  <w:tcW w:w="783" w:type="pct"/>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万</w:t>
                  </w:r>
                  <w:r>
                    <w:rPr>
                      <w:rFonts w:ascii="Times New Roman" w:hAnsi="Times New Roman" w:eastAsia="宋体" w:cs="Times New Roman"/>
                      <w:szCs w:val="21"/>
                    </w:rPr>
                    <w:t>kW·h</w:t>
                  </w:r>
                </w:p>
              </w:tc>
              <w:tc>
                <w:tcPr>
                  <w:tcW w:w="1511" w:type="pct"/>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150</w:t>
                  </w:r>
                </w:p>
              </w:tc>
              <w:tc>
                <w:tcPr>
                  <w:tcW w:w="1136" w:type="pct"/>
                  <w:vMerge w:val="continue"/>
                  <w:vAlign w:val="center"/>
                </w:tcPr>
                <w:p>
                  <w:pPr>
                    <w:adjustRightInd w:val="0"/>
                    <w:snapToGrid w:val="0"/>
                    <w:jc w:val="center"/>
                    <w:rPr>
                      <w:rFonts w:ascii="Times New Roman" w:hAnsi="Times New Roman" w:eastAsia="宋体" w:cs="Times New Roman"/>
                      <w:szCs w:val="21"/>
                    </w:rPr>
                  </w:pPr>
                </w:p>
              </w:tc>
            </w:tr>
          </w:tbl>
          <w:p>
            <w:pPr>
              <w:widowControl/>
              <w:adjustRightInd w:val="0"/>
              <w:snapToGrid w:val="0"/>
              <w:spacing w:line="360" w:lineRule="auto"/>
              <w:ind w:firstLine="480" w:firstLineChars="200"/>
              <w:rPr>
                <w:rFonts w:ascii="Times New Roman" w:hAnsi="Times New Roman" w:eastAsia="宋体" w:cs="Times New Roman"/>
                <w:bCs/>
                <w:sz w:val="24"/>
                <w:lang w:bidi="ar"/>
              </w:rPr>
            </w:pPr>
            <w:r>
              <w:rPr>
                <w:rFonts w:ascii="Times New Roman" w:hAnsi="Times New Roman" w:eastAsia="宋体" w:cs="Times New Roman"/>
                <w:bCs/>
                <w:sz w:val="24"/>
                <w:lang w:bidi="ar"/>
              </w:rPr>
              <w:t>原辅材料性质来源及说明：</w:t>
            </w:r>
          </w:p>
          <w:p>
            <w:pPr>
              <w:widowControl/>
              <w:adjustRightInd w:val="0"/>
              <w:snapToGrid w:val="0"/>
              <w:spacing w:line="360" w:lineRule="auto"/>
              <w:ind w:firstLine="480" w:firstLineChars="200"/>
              <w:rPr>
                <w:rFonts w:ascii="Times New Roman" w:hAnsi="Times New Roman" w:eastAsia="宋体" w:cs="Times New Roman"/>
                <w:bCs/>
                <w:sz w:val="24"/>
                <w:lang w:bidi="ar"/>
              </w:rPr>
            </w:pPr>
            <w:r>
              <w:rPr>
                <w:rFonts w:ascii="Times New Roman" w:hAnsi="Times New Roman" w:eastAsia="宋体" w:cs="Times New Roman"/>
                <w:bCs/>
                <w:sz w:val="24"/>
                <w:lang w:bidi="ar"/>
              </w:rPr>
              <w:t>砂石料：废石是放错地方的资源，废石并不是完全没有用，大量废石的堆积不仅占用土地面积，长此以往，其中的有害物质会污染大气和土壤，给人们身体健康带来威胁，但废石经过加工之后可</w:t>
            </w:r>
            <w:r>
              <w:rPr>
                <w:rFonts w:hint="eastAsia" w:ascii="Times New Roman" w:hAnsi="Times New Roman" w:eastAsia="宋体" w:cs="Times New Roman"/>
                <w:bCs/>
                <w:sz w:val="24"/>
                <w:lang w:bidi="ar"/>
              </w:rPr>
              <w:t>成为</w:t>
            </w:r>
            <w:r>
              <w:rPr>
                <w:rFonts w:ascii="Times New Roman" w:hAnsi="Times New Roman" w:eastAsia="宋体" w:cs="Times New Roman"/>
                <w:bCs/>
                <w:sz w:val="24"/>
                <w:lang w:bidi="ar"/>
              </w:rPr>
              <w:t>优质的砂石骨料，本项目原料砂石料主要为</w:t>
            </w:r>
            <w:r>
              <w:rPr>
                <w:rFonts w:hint="eastAsia" w:ascii="Times New Roman" w:hAnsi="Times New Roman" w:eastAsia="宋体" w:cs="Times New Roman"/>
                <w:bCs/>
                <w:sz w:val="24"/>
                <w:lang w:bidi="ar"/>
              </w:rPr>
              <w:t>当地砂石厂废土石、高速路开挖废土石</w:t>
            </w:r>
            <w:r>
              <w:rPr>
                <w:rFonts w:ascii="Times New Roman" w:hAnsi="Times New Roman" w:eastAsia="宋体" w:cs="Times New Roman"/>
                <w:bCs/>
                <w:sz w:val="24"/>
                <w:lang w:bidi="ar"/>
              </w:rPr>
              <w:t>，含泥土量</w:t>
            </w:r>
            <w:r>
              <w:rPr>
                <w:rFonts w:hint="eastAsia" w:ascii="Times New Roman" w:hAnsi="Times New Roman" w:eastAsia="宋体" w:cs="Times New Roman"/>
                <w:bCs/>
                <w:sz w:val="24"/>
                <w:lang w:bidi="ar"/>
              </w:rPr>
              <w:t>约在</w:t>
            </w:r>
            <w:r>
              <w:rPr>
                <w:rFonts w:ascii="Times New Roman" w:hAnsi="Times New Roman" w:eastAsia="宋体" w:cs="Times New Roman"/>
                <w:bCs/>
                <w:sz w:val="24"/>
                <w:lang w:bidi="ar"/>
              </w:rPr>
              <w:t>10%左右。</w:t>
            </w:r>
          </w:p>
          <w:p>
            <w:pPr>
              <w:widowControl/>
              <w:adjustRightInd w:val="0"/>
              <w:snapToGrid w:val="0"/>
              <w:spacing w:line="360" w:lineRule="auto"/>
              <w:ind w:firstLine="482" w:firstLineChars="200"/>
              <w:rPr>
                <w:rFonts w:ascii="Times New Roman" w:hAnsi="Times New Roman" w:eastAsia="宋体" w:cs="Times New Roman"/>
                <w:b/>
                <w:sz w:val="24"/>
                <w:lang w:bidi="ar"/>
              </w:rPr>
            </w:pPr>
            <w:r>
              <w:rPr>
                <w:rFonts w:ascii="Times New Roman" w:hAnsi="Times New Roman" w:eastAsia="宋体" w:cs="Times New Roman"/>
                <w:b/>
                <w:sz w:val="24"/>
                <w:lang w:bidi="ar"/>
              </w:rPr>
              <w:t>4、主要设施、设备</w:t>
            </w:r>
          </w:p>
          <w:p>
            <w:pPr>
              <w:widowControl/>
              <w:adjustRightInd w:val="0"/>
              <w:snapToGrid w:val="0"/>
              <w:spacing w:line="360" w:lineRule="auto"/>
              <w:ind w:firstLine="480" w:firstLineChars="200"/>
              <w:rPr>
                <w:rFonts w:ascii="Times New Roman" w:hAnsi="Times New Roman" w:eastAsia="宋体" w:cs="Times New Roman"/>
                <w:b/>
                <w:bCs/>
                <w:szCs w:val="21"/>
              </w:rPr>
            </w:pPr>
            <w:bookmarkStart w:id="289" w:name="_Toc11683"/>
            <w:bookmarkStart w:id="290" w:name="_Toc519843869"/>
            <w:r>
              <w:rPr>
                <w:rFonts w:ascii="Times New Roman" w:hAnsi="Times New Roman" w:eastAsia="宋体" w:cs="Times New Roman"/>
                <w:sz w:val="24"/>
                <w:lang w:bidi="ar"/>
              </w:rPr>
              <w:t>根据建设单位提供资料，项目运营期需要配套的设备主要详见表2-3。</w:t>
            </w:r>
            <w:bookmarkEnd w:id="289"/>
            <w:bookmarkEnd w:id="290"/>
          </w:p>
          <w:p>
            <w:pPr>
              <w:adjustRightInd w:val="0"/>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表2-3 项目主要设备一览表</w:t>
            </w:r>
          </w:p>
          <w:tbl>
            <w:tblPr>
              <w:tblStyle w:val="65"/>
              <w:tblW w:w="7218" w:type="dxa"/>
              <w:tblInd w:w="56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68"/>
              <w:gridCol w:w="1421"/>
              <w:gridCol w:w="895"/>
              <w:gridCol w:w="1249"/>
              <w:gridCol w:w="1667"/>
              <w:gridCol w:w="141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7" w:hRule="atLeast"/>
              </w:trPr>
              <w:tc>
                <w:tcPr>
                  <w:tcW w:w="568" w:type="dxa"/>
                  <w:vAlign w:val="center"/>
                </w:tcPr>
                <w:p>
                  <w:pPr>
                    <w:pStyle w:val="64"/>
                    <w:jc w:val="center"/>
                    <w:rPr>
                      <w:rFonts w:ascii="Times New Roman" w:hAnsi="Times New Roman" w:cs="Times New Roman"/>
                      <w:b/>
                      <w:bCs/>
                      <w:sz w:val="21"/>
                      <w:szCs w:val="21"/>
                      <w:lang w:val="zh-CN" w:eastAsia="zh-CN"/>
                    </w:rPr>
                  </w:pPr>
                  <w:r>
                    <w:rPr>
                      <w:rFonts w:ascii="Times New Roman" w:hAnsi="Times New Roman" w:cs="Times New Roman"/>
                      <w:b/>
                      <w:bCs/>
                      <w:sz w:val="21"/>
                      <w:szCs w:val="21"/>
                      <w:lang w:val="zh-CN" w:eastAsia="zh-CN"/>
                    </w:rPr>
                    <w:t>序号</w:t>
                  </w:r>
                </w:p>
              </w:tc>
              <w:tc>
                <w:tcPr>
                  <w:tcW w:w="1421" w:type="dxa"/>
                  <w:vAlign w:val="center"/>
                </w:tcPr>
                <w:p>
                  <w:pPr>
                    <w:pStyle w:val="64"/>
                    <w:jc w:val="center"/>
                    <w:rPr>
                      <w:rFonts w:ascii="Times New Roman" w:hAnsi="Times New Roman" w:cs="Times New Roman"/>
                      <w:b/>
                      <w:bCs/>
                      <w:sz w:val="21"/>
                      <w:szCs w:val="21"/>
                      <w:lang w:val="zh-CN" w:eastAsia="zh-CN"/>
                    </w:rPr>
                  </w:pPr>
                  <w:r>
                    <w:rPr>
                      <w:rFonts w:ascii="Times New Roman" w:hAnsi="Times New Roman" w:cs="Times New Roman"/>
                      <w:b/>
                      <w:bCs/>
                      <w:sz w:val="21"/>
                      <w:szCs w:val="21"/>
                      <w:lang w:val="zh-CN" w:eastAsia="zh-CN"/>
                    </w:rPr>
                    <w:t>设备名称</w:t>
                  </w:r>
                </w:p>
              </w:tc>
              <w:tc>
                <w:tcPr>
                  <w:tcW w:w="895" w:type="dxa"/>
                  <w:vAlign w:val="center"/>
                </w:tcPr>
                <w:p>
                  <w:pPr>
                    <w:pStyle w:val="64"/>
                    <w:jc w:val="center"/>
                    <w:rPr>
                      <w:rFonts w:ascii="Times New Roman" w:hAnsi="Times New Roman" w:cs="Times New Roman"/>
                      <w:b/>
                      <w:bCs/>
                      <w:sz w:val="21"/>
                      <w:szCs w:val="21"/>
                      <w:lang w:val="zh-CN" w:eastAsia="zh-CN"/>
                    </w:rPr>
                  </w:pPr>
                  <w:r>
                    <w:rPr>
                      <w:rFonts w:ascii="Times New Roman" w:hAnsi="Times New Roman" w:cs="Times New Roman"/>
                      <w:b/>
                      <w:bCs/>
                      <w:sz w:val="21"/>
                      <w:szCs w:val="21"/>
                      <w:lang w:val="zh-CN" w:eastAsia="zh-CN"/>
                    </w:rPr>
                    <w:t>单位</w:t>
                  </w:r>
                </w:p>
              </w:tc>
              <w:tc>
                <w:tcPr>
                  <w:tcW w:w="1249" w:type="dxa"/>
                  <w:vAlign w:val="center"/>
                </w:tcPr>
                <w:p>
                  <w:pPr>
                    <w:pStyle w:val="64"/>
                    <w:jc w:val="center"/>
                    <w:rPr>
                      <w:rFonts w:ascii="Times New Roman" w:hAnsi="Times New Roman" w:cs="Times New Roman"/>
                      <w:b/>
                      <w:bCs/>
                      <w:sz w:val="21"/>
                      <w:szCs w:val="21"/>
                      <w:lang w:val="zh-CN" w:eastAsia="zh-CN"/>
                    </w:rPr>
                  </w:pPr>
                  <w:r>
                    <w:rPr>
                      <w:rFonts w:ascii="Times New Roman" w:hAnsi="Times New Roman" w:cs="Times New Roman"/>
                      <w:b/>
                      <w:bCs/>
                      <w:sz w:val="21"/>
                      <w:szCs w:val="21"/>
                      <w:lang w:val="zh-CN" w:eastAsia="zh-CN"/>
                    </w:rPr>
                    <w:t>数量</w:t>
                  </w:r>
                </w:p>
              </w:tc>
              <w:tc>
                <w:tcPr>
                  <w:tcW w:w="1667" w:type="dxa"/>
                  <w:vAlign w:val="center"/>
                </w:tcPr>
                <w:p>
                  <w:pPr>
                    <w:pStyle w:val="64"/>
                    <w:jc w:val="center"/>
                    <w:rPr>
                      <w:rFonts w:ascii="Times New Roman" w:hAnsi="Times New Roman" w:cs="Times New Roman"/>
                      <w:b/>
                      <w:bCs/>
                      <w:sz w:val="21"/>
                      <w:szCs w:val="21"/>
                      <w:lang w:val="zh-CN" w:eastAsia="zh-CN"/>
                    </w:rPr>
                  </w:pPr>
                  <w:r>
                    <w:rPr>
                      <w:rFonts w:ascii="Times New Roman" w:hAnsi="Times New Roman" w:cs="Times New Roman"/>
                      <w:b/>
                      <w:bCs/>
                      <w:sz w:val="21"/>
                      <w:szCs w:val="21"/>
                      <w:lang w:val="zh-CN" w:eastAsia="zh-CN"/>
                    </w:rPr>
                    <w:t>型号/规格</w:t>
                  </w:r>
                </w:p>
              </w:tc>
              <w:tc>
                <w:tcPr>
                  <w:tcW w:w="1418" w:type="dxa"/>
                  <w:vAlign w:val="center"/>
                </w:tcPr>
                <w:p>
                  <w:pPr>
                    <w:pStyle w:val="64"/>
                    <w:jc w:val="center"/>
                    <w:rPr>
                      <w:rFonts w:ascii="Times New Roman" w:hAnsi="Times New Roman" w:cs="Times New Roman"/>
                      <w:b/>
                      <w:bCs/>
                      <w:sz w:val="21"/>
                      <w:szCs w:val="21"/>
                      <w:lang w:val="zh-CN" w:eastAsia="zh-CN"/>
                    </w:rPr>
                  </w:pPr>
                  <w:r>
                    <w:rPr>
                      <w:rFonts w:ascii="Times New Roman" w:hAnsi="Times New Roman" w:cs="Times New Roman"/>
                      <w:b/>
                      <w:bCs/>
                      <w:sz w:val="21"/>
                      <w:szCs w:val="21"/>
                      <w:lang w:val="zh-CN" w:eastAsia="zh-CN"/>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5" w:hRule="atLeast"/>
              </w:trPr>
              <w:tc>
                <w:tcPr>
                  <w:tcW w:w="568" w:type="dxa"/>
                  <w:vAlign w:val="center"/>
                </w:tcPr>
                <w:p>
                  <w:pPr>
                    <w:jc w:val="center"/>
                    <w:rPr>
                      <w:rFonts w:ascii="Times New Roman" w:hAnsi="Times New Roman" w:eastAsia="宋体" w:cs="Times New Roman"/>
                      <w:szCs w:val="21"/>
                      <w:lang w:val="zh-CN"/>
                    </w:rPr>
                  </w:pPr>
                  <w:r>
                    <w:rPr>
                      <w:rFonts w:ascii="Times New Roman" w:hAnsi="Times New Roman" w:eastAsia="宋体" w:cs="Times New Roman"/>
                      <w:szCs w:val="21"/>
                      <w:lang w:val="zh-CN"/>
                    </w:rPr>
                    <w:t>1</w:t>
                  </w:r>
                </w:p>
              </w:tc>
              <w:tc>
                <w:tcPr>
                  <w:tcW w:w="1421" w:type="dxa"/>
                  <w:vAlign w:val="center"/>
                </w:tcPr>
                <w:p>
                  <w:pPr>
                    <w:pStyle w:val="64"/>
                    <w:jc w:val="center"/>
                    <w:rPr>
                      <w:rFonts w:ascii="Times New Roman" w:hAnsi="Times New Roman" w:cs="Times New Roman"/>
                      <w:sz w:val="21"/>
                      <w:szCs w:val="21"/>
                      <w:lang w:val="zh-CN" w:eastAsia="zh-CN"/>
                    </w:rPr>
                  </w:pPr>
                  <w:r>
                    <w:rPr>
                      <w:rFonts w:ascii="Times New Roman" w:hAnsi="Times New Roman" w:cs="Times New Roman"/>
                      <w:sz w:val="21"/>
                      <w:szCs w:val="21"/>
                      <w:lang w:val="zh-CN" w:eastAsia="zh-CN"/>
                    </w:rPr>
                    <w:t>颚式破碎机</w:t>
                  </w:r>
                </w:p>
              </w:tc>
              <w:tc>
                <w:tcPr>
                  <w:tcW w:w="895" w:type="dxa"/>
                  <w:vAlign w:val="center"/>
                </w:tcPr>
                <w:p>
                  <w:pPr>
                    <w:pStyle w:val="64"/>
                    <w:jc w:val="center"/>
                    <w:rPr>
                      <w:rFonts w:ascii="Times New Roman" w:hAnsi="Times New Roman" w:cs="Times New Roman"/>
                      <w:sz w:val="21"/>
                      <w:szCs w:val="21"/>
                      <w:lang w:val="zh-CN" w:eastAsia="zh-CN"/>
                    </w:rPr>
                  </w:pPr>
                  <w:r>
                    <w:rPr>
                      <w:rFonts w:ascii="Times New Roman" w:hAnsi="Times New Roman" w:cs="Times New Roman"/>
                      <w:sz w:val="21"/>
                      <w:szCs w:val="21"/>
                      <w:lang w:val="zh-CN" w:eastAsia="zh-CN"/>
                    </w:rPr>
                    <w:t>台</w:t>
                  </w:r>
                </w:p>
              </w:tc>
              <w:tc>
                <w:tcPr>
                  <w:tcW w:w="1249" w:type="dxa"/>
                  <w:vAlign w:val="center"/>
                </w:tcPr>
                <w:p>
                  <w:pPr>
                    <w:jc w:val="center"/>
                    <w:rPr>
                      <w:rFonts w:ascii="Times New Roman" w:hAnsi="Times New Roman" w:eastAsia="宋体" w:cs="Times New Roman"/>
                      <w:szCs w:val="21"/>
                      <w:lang w:val="zh-CN"/>
                    </w:rPr>
                  </w:pPr>
                  <w:r>
                    <w:rPr>
                      <w:rFonts w:hint="eastAsia" w:ascii="Times New Roman" w:hAnsi="Times New Roman" w:eastAsia="宋体" w:cs="Times New Roman"/>
                      <w:szCs w:val="21"/>
                    </w:rPr>
                    <w:t>2</w:t>
                  </w:r>
                </w:p>
              </w:tc>
              <w:tc>
                <w:tcPr>
                  <w:tcW w:w="1667"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500*750</w:t>
                  </w:r>
                </w:p>
              </w:tc>
              <w:tc>
                <w:tcPr>
                  <w:tcW w:w="1418" w:type="dxa"/>
                  <w:vAlign w:val="center"/>
                </w:tcPr>
                <w:p>
                  <w:pPr>
                    <w:pStyle w:val="64"/>
                    <w:jc w:val="center"/>
                    <w:rPr>
                      <w:rFonts w:ascii="Times New Roman" w:hAnsi="Times New Roman" w:cs="Times New Roman"/>
                      <w:sz w:val="21"/>
                      <w:szCs w:val="21"/>
                      <w:lang w:val="zh-CN"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4" w:hRule="atLeast"/>
              </w:trPr>
              <w:tc>
                <w:tcPr>
                  <w:tcW w:w="568" w:type="dxa"/>
                  <w:vAlign w:val="center"/>
                </w:tcPr>
                <w:p>
                  <w:pPr>
                    <w:jc w:val="center"/>
                    <w:rPr>
                      <w:rFonts w:ascii="Times New Roman" w:hAnsi="Times New Roman" w:eastAsia="宋体" w:cs="Times New Roman"/>
                      <w:szCs w:val="21"/>
                      <w:lang w:val="zh-CN"/>
                    </w:rPr>
                  </w:pPr>
                  <w:r>
                    <w:rPr>
                      <w:rFonts w:ascii="Times New Roman" w:hAnsi="Times New Roman" w:eastAsia="宋体" w:cs="Times New Roman"/>
                      <w:szCs w:val="21"/>
                      <w:lang w:val="zh-CN"/>
                    </w:rPr>
                    <w:t>2</w:t>
                  </w:r>
                </w:p>
              </w:tc>
              <w:tc>
                <w:tcPr>
                  <w:tcW w:w="1421" w:type="dxa"/>
                  <w:vAlign w:val="center"/>
                </w:tcPr>
                <w:p>
                  <w:pPr>
                    <w:pStyle w:val="64"/>
                    <w:jc w:val="center"/>
                    <w:rPr>
                      <w:rFonts w:ascii="Times New Roman" w:hAnsi="Times New Roman" w:cs="Times New Roman"/>
                      <w:sz w:val="21"/>
                      <w:szCs w:val="21"/>
                      <w:lang w:eastAsia="zh-CN"/>
                    </w:rPr>
                  </w:pPr>
                  <w:r>
                    <w:rPr>
                      <w:rFonts w:hint="eastAsia" w:ascii="Times New Roman" w:hAnsi="Times New Roman" w:cs="Times New Roman"/>
                      <w:sz w:val="21"/>
                      <w:szCs w:val="21"/>
                      <w:lang w:eastAsia="zh-CN"/>
                    </w:rPr>
                    <w:t>圆锥破碎机</w:t>
                  </w:r>
                </w:p>
              </w:tc>
              <w:tc>
                <w:tcPr>
                  <w:tcW w:w="895" w:type="dxa"/>
                  <w:vAlign w:val="center"/>
                </w:tcPr>
                <w:p>
                  <w:pPr>
                    <w:pStyle w:val="64"/>
                    <w:jc w:val="center"/>
                    <w:rPr>
                      <w:rFonts w:ascii="Times New Roman" w:hAnsi="Times New Roman" w:cs="Times New Roman"/>
                      <w:sz w:val="21"/>
                      <w:szCs w:val="21"/>
                      <w:lang w:val="zh-CN" w:eastAsia="zh-CN"/>
                    </w:rPr>
                  </w:pPr>
                  <w:r>
                    <w:rPr>
                      <w:rFonts w:ascii="Times New Roman" w:hAnsi="Times New Roman" w:cs="Times New Roman"/>
                      <w:sz w:val="21"/>
                      <w:szCs w:val="21"/>
                      <w:lang w:val="zh-CN" w:eastAsia="zh-CN"/>
                    </w:rPr>
                    <w:t>台</w:t>
                  </w:r>
                </w:p>
              </w:tc>
              <w:tc>
                <w:tcPr>
                  <w:tcW w:w="1249" w:type="dxa"/>
                  <w:vAlign w:val="center"/>
                </w:tcPr>
                <w:p>
                  <w:pPr>
                    <w:jc w:val="center"/>
                    <w:rPr>
                      <w:rFonts w:ascii="Times New Roman" w:hAnsi="Times New Roman" w:eastAsia="宋体" w:cs="Times New Roman"/>
                      <w:szCs w:val="21"/>
                      <w:lang w:val="zh-CN"/>
                    </w:rPr>
                  </w:pPr>
                  <w:r>
                    <w:rPr>
                      <w:rFonts w:hint="eastAsia" w:ascii="Times New Roman" w:hAnsi="Times New Roman" w:eastAsia="宋体" w:cs="Times New Roman"/>
                      <w:szCs w:val="21"/>
                    </w:rPr>
                    <w:t>2</w:t>
                  </w:r>
                </w:p>
              </w:tc>
              <w:tc>
                <w:tcPr>
                  <w:tcW w:w="1667"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1200</w:t>
                  </w:r>
                </w:p>
              </w:tc>
              <w:tc>
                <w:tcPr>
                  <w:tcW w:w="1418" w:type="dxa"/>
                  <w:vAlign w:val="center"/>
                </w:tcPr>
                <w:p>
                  <w:pPr>
                    <w:pStyle w:val="64"/>
                    <w:jc w:val="center"/>
                    <w:rPr>
                      <w:rFonts w:ascii="Times New Roman" w:hAnsi="Times New Roman" w:cs="Times New Roman"/>
                      <w:sz w:val="21"/>
                      <w:szCs w:val="21"/>
                      <w:lang w:val="zh-CN"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6" w:hRule="atLeast"/>
              </w:trPr>
              <w:tc>
                <w:tcPr>
                  <w:tcW w:w="568" w:type="dxa"/>
                  <w:vAlign w:val="center"/>
                </w:tcPr>
                <w:p>
                  <w:pPr>
                    <w:jc w:val="center"/>
                    <w:rPr>
                      <w:rFonts w:ascii="Times New Roman" w:hAnsi="Times New Roman" w:eastAsia="宋体" w:cs="Times New Roman"/>
                      <w:szCs w:val="21"/>
                      <w:lang w:val="zh-CN"/>
                    </w:rPr>
                  </w:pPr>
                  <w:r>
                    <w:rPr>
                      <w:rFonts w:hint="eastAsia" w:ascii="Times New Roman" w:hAnsi="Times New Roman" w:eastAsia="宋体" w:cs="Times New Roman"/>
                      <w:szCs w:val="21"/>
                    </w:rPr>
                    <w:t>3</w:t>
                  </w:r>
                </w:p>
              </w:tc>
              <w:tc>
                <w:tcPr>
                  <w:tcW w:w="1421" w:type="dxa"/>
                  <w:vAlign w:val="center"/>
                </w:tcPr>
                <w:p>
                  <w:pPr>
                    <w:pStyle w:val="64"/>
                    <w:jc w:val="center"/>
                    <w:rPr>
                      <w:rFonts w:ascii="Times New Roman" w:hAnsi="Times New Roman" w:cs="Times New Roman"/>
                      <w:sz w:val="21"/>
                      <w:szCs w:val="21"/>
                      <w:lang w:val="zh-CN" w:eastAsia="zh-CN"/>
                    </w:rPr>
                  </w:pPr>
                  <w:r>
                    <w:rPr>
                      <w:rFonts w:ascii="Times New Roman" w:hAnsi="Times New Roman" w:cs="Times New Roman"/>
                      <w:sz w:val="21"/>
                      <w:szCs w:val="21"/>
                      <w:lang w:val="zh-CN" w:eastAsia="zh-CN"/>
                    </w:rPr>
                    <w:t>皮带输送机</w:t>
                  </w:r>
                </w:p>
              </w:tc>
              <w:tc>
                <w:tcPr>
                  <w:tcW w:w="895" w:type="dxa"/>
                  <w:vAlign w:val="center"/>
                </w:tcPr>
                <w:p>
                  <w:pPr>
                    <w:pStyle w:val="64"/>
                    <w:jc w:val="center"/>
                    <w:rPr>
                      <w:rFonts w:ascii="Times New Roman" w:hAnsi="Times New Roman" w:cs="Times New Roman"/>
                      <w:sz w:val="21"/>
                      <w:szCs w:val="21"/>
                      <w:lang w:val="zh-CN" w:eastAsia="zh-CN"/>
                    </w:rPr>
                  </w:pPr>
                  <w:r>
                    <w:rPr>
                      <w:rFonts w:ascii="Times New Roman" w:hAnsi="Times New Roman" w:cs="Times New Roman"/>
                      <w:sz w:val="21"/>
                      <w:szCs w:val="21"/>
                      <w:lang w:val="zh-CN" w:eastAsia="zh-CN"/>
                    </w:rPr>
                    <w:t>条</w:t>
                  </w:r>
                </w:p>
              </w:tc>
              <w:tc>
                <w:tcPr>
                  <w:tcW w:w="1249" w:type="dxa"/>
                  <w:vAlign w:val="center"/>
                </w:tcPr>
                <w:p>
                  <w:pPr>
                    <w:jc w:val="center"/>
                    <w:rPr>
                      <w:rFonts w:ascii="Times New Roman" w:hAnsi="Times New Roman" w:eastAsia="宋体" w:cs="Times New Roman"/>
                      <w:szCs w:val="21"/>
                      <w:lang w:val="zh-CN"/>
                    </w:rPr>
                  </w:pPr>
                  <w:r>
                    <w:rPr>
                      <w:rFonts w:hint="eastAsia" w:ascii="Times New Roman" w:hAnsi="Times New Roman" w:eastAsia="宋体" w:cs="Times New Roman"/>
                      <w:szCs w:val="21"/>
                    </w:rPr>
                    <w:t>2</w:t>
                  </w:r>
                </w:p>
              </w:tc>
              <w:tc>
                <w:tcPr>
                  <w:tcW w:w="1667" w:type="dxa"/>
                  <w:vAlign w:val="center"/>
                </w:tcPr>
                <w:p>
                  <w:pPr>
                    <w:jc w:val="center"/>
                    <w:rPr>
                      <w:rFonts w:ascii="Times New Roman" w:hAnsi="Times New Roman" w:eastAsia="宋体" w:cs="Times New Roman"/>
                      <w:szCs w:val="21"/>
                      <w:lang w:val="zh-CN"/>
                    </w:rPr>
                  </w:pPr>
                  <w:r>
                    <w:rPr>
                      <w:rFonts w:ascii="Times New Roman" w:hAnsi="Times New Roman" w:eastAsia="宋体" w:cs="Times New Roman"/>
                      <w:szCs w:val="21"/>
                      <w:lang w:val="zh-CN"/>
                    </w:rPr>
                    <w:t>95KW</w:t>
                  </w:r>
                </w:p>
              </w:tc>
              <w:tc>
                <w:tcPr>
                  <w:tcW w:w="1418" w:type="dxa"/>
                  <w:vAlign w:val="center"/>
                </w:tcPr>
                <w:p>
                  <w:pPr>
                    <w:pStyle w:val="64"/>
                    <w:jc w:val="center"/>
                    <w:rPr>
                      <w:rFonts w:ascii="Times New Roman" w:hAnsi="Times New Roman" w:cs="Times New Roman"/>
                      <w:sz w:val="21"/>
                      <w:szCs w:val="21"/>
                      <w:lang w:val="zh-CN"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6" w:hRule="atLeast"/>
              </w:trPr>
              <w:tc>
                <w:tcPr>
                  <w:tcW w:w="568" w:type="dxa"/>
                  <w:vAlign w:val="center"/>
                </w:tcPr>
                <w:p>
                  <w:pPr>
                    <w:jc w:val="center"/>
                    <w:rPr>
                      <w:rFonts w:ascii="Times New Roman" w:hAnsi="Times New Roman" w:eastAsia="宋体" w:cs="Times New Roman"/>
                      <w:szCs w:val="21"/>
                      <w:lang w:val="zh-CN"/>
                    </w:rPr>
                  </w:pPr>
                  <w:r>
                    <w:rPr>
                      <w:rFonts w:hint="eastAsia" w:ascii="Times New Roman" w:hAnsi="Times New Roman" w:eastAsia="宋体" w:cs="Times New Roman"/>
                      <w:szCs w:val="21"/>
                    </w:rPr>
                    <w:t>4</w:t>
                  </w:r>
                </w:p>
              </w:tc>
              <w:tc>
                <w:tcPr>
                  <w:tcW w:w="1421" w:type="dxa"/>
                  <w:vAlign w:val="center"/>
                </w:tcPr>
                <w:p>
                  <w:pPr>
                    <w:pStyle w:val="64"/>
                    <w:jc w:val="center"/>
                    <w:rPr>
                      <w:rFonts w:ascii="Times New Roman" w:hAnsi="Times New Roman" w:cs="Times New Roman"/>
                      <w:sz w:val="21"/>
                      <w:szCs w:val="21"/>
                      <w:lang w:val="zh-CN" w:eastAsia="zh-CN"/>
                    </w:rPr>
                  </w:pPr>
                  <w:r>
                    <w:rPr>
                      <w:rFonts w:ascii="Times New Roman" w:hAnsi="Times New Roman" w:cs="Times New Roman"/>
                      <w:sz w:val="21"/>
                      <w:szCs w:val="21"/>
                      <w:lang w:val="zh-CN" w:eastAsia="zh-CN"/>
                    </w:rPr>
                    <w:t>振动筛</w:t>
                  </w:r>
                </w:p>
              </w:tc>
              <w:tc>
                <w:tcPr>
                  <w:tcW w:w="895" w:type="dxa"/>
                  <w:vAlign w:val="center"/>
                </w:tcPr>
                <w:p>
                  <w:pPr>
                    <w:pStyle w:val="64"/>
                    <w:jc w:val="center"/>
                    <w:rPr>
                      <w:rFonts w:ascii="Times New Roman" w:hAnsi="Times New Roman" w:cs="Times New Roman"/>
                      <w:sz w:val="21"/>
                      <w:szCs w:val="21"/>
                      <w:lang w:val="zh-CN" w:eastAsia="zh-CN"/>
                    </w:rPr>
                  </w:pPr>
                  <w:r>
                    <w:rPr>
                      <w:rFonts w:ascii="Times New Roman" w:hAnsi="Times New Roman" w:cs="Times New Roman"/>
                      <w:sz w:val="21"/>
                      <w:szCs w:val="21"/>
                      <w:lang w:val="zh-CN" w:eastAsia="zh-CN"/>
                    </w:rPr>
                    <w:t>台</w:t>
                  </w:r>
                </w:p>
              </w:tc>
              <w:tc>
                <w:tcPr>
                  <w:tcW w:w="1249" w:type="dxa"/>
                  <w:vAlign w:val="center"/>
                </w:tcPr>
                <w:p>
                  <w:pPr>
                    <w:jc w:val="center"/>
                    <w:rPr>
                      <w:rFonts w:ascii="Times New Roman" w:hAnsi="Times New Roman" w:eastAsia="宋体" w:cs="Times New Roman"/>
                      <w:szCs w:val="21"/>
                      <w:lang w:val="zh-CN"/>
                    </w:rPr>
                  </w:pPr>
                  <w:r>
                    <w:rPr>
                      <w:rFonts w:hint="eastAsia" w:ascii="Times New Roman" w:hAnsi="Times New Roman" w:eastAsia="宋体" w:cs="Times New Roman"/>
                      <w:szCs w:val="21"/>
                    </w:rPr>
                    <w:t>2</w:t>
                  </w:r>
                </w:p>
              </w:tc>
              <w:tc>
                <w:tcPr>
                  <w:tcW w:w="1667" w:type="dxa"/>
                  <w:vAlign w:val="center"/>
                </w:tcPr>
                <w:p>
                  <w:pPr>
                    <w:jc w:val="center"/>
                    <w:rPr>
                      <w:rFonts w:ascii="Times New Roman" w:hAnsi="Times New Roman" w:eastAsia="宋体" w:cs="Times New Roman"/>
                      <w:szCs w:val="21"/>
                      <w:lang w:val="zh-CN"/>
                    </w:rPr>
                  </w:pPr>
                  <w:r>
                    <w:rPr>
                      <w:rFonts w:ascii="Times New Roman" w:hAnsi="Times New Roman" w:eastAsia="宋体" w:cs="Times New Roman"/>
                      <w:szCs w:val="21"/>
                      <w:lang w:val="zh-CN"/>
                    </w:rPr>
                    <w:t>80KW</w:t>
                  </w:r>
                </w:p>
              </w:tc>
              <w:tc>
                <w:tcPr>
                  <w:tcW w:w="1418" w:type="dxa"/>
                  <w:vAlign w:val="center"/>
                </w:tcPr>
                <w:p>
                  <w:pPr>
                    <w:pStyle w:val="64"/>
                    <w:jc w:val="center"/>
                    <w:rPr>
                      <w:rFonts w:ascii="Times New Roman" w:hAnsi="Times New Roman" w:cs="Times New Roman"/>
                      <w:sz w:val="21"/>
                      <w:szCs w:val="21"/>
                      <w:lang w:val="zh-CN"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4" w:hRule="atLeast"/>
              </w:trPr>
              <w:tc>
                <w:tcPr>
                  <w:tcW w:w="568" w:type="dxa"/>
                  <w:vAlign w:val="center"/>
                </w:tcPr>
                <w:p>
                  <w:pPr>
                    <w:jc w:val="center"/>
                    <w:rPr>
                      <w:rFonts w:ascii="Times New Roman" w:hAnsi="Times New Roman" w:eastAsia="宋体" w:cs="Times New Roman"/>
                      <w:szCs w:val="21"/>
                      <w:lang w:val="zh-CN"/>
                    </w:rPr>
                  </w:pPr>
                  <w:r>
                    <w:rPr>
                      <w:rFonts w:hint="eastAsia" w:ascii="Times New Roman" w:hAnsi="Times New Roman" w:eastAsia="宋体" w:cs="Times New Roman"/>
                      <w:szCs w:val="21"/>
                    </w:rPr>
                    <w:t>5</w:t>
                  </w:r>
                </w:p>
              </w:tc>
              <w:tc>
                <w:tcPr>
                  <w:tcW w:w="1421" w:type="dxa"/>
                  <w:vAlign w:val="center"/>
                </w:tcPr>
                <w:p>
                  <w:pPr>
                    <w:pStyle w:val="64"/>
                    <w:jc w:val="center"/>
                    <w:rPr>
                      <w:rFonts w:ascii="Times New Roman" w:hAnsi="Times New Roman" w:cs="Times New Roman"/>
                      <w:sz w:val="21"/>
                      <w:szCs w:val="21"/>
                      <w:lang w:val="zh-CN" w:eastAsia="zh-CN"/>
                    </w:rPr>
                  </w:pPr>
                  <w:r>
                    <w:rPr>
                      <w:rFonts w:hint="eastAsia" w:ascii="Times New Roman" w:hAnsi="Times New Roman" w:cs="Times New Roman"/>
                      <w:sz w:val="21"/>
                      <w:szCs w:val="21"/>
                      <w:lang w:eastAsia="zh-CN"/>
                    </w:rPr>
                    <w:t>料斗</w:t>
                  </w:r>
                </w:p>
              </w:tc>
              <w:tc>
                <w:tcPr>
                  <w:tcW w:w="895" w:type="dxa"/>
                  <w:vAlign w:val="center"/>
                </w:tcPr>
                <w:p>
                  <w:pPr>
                    <w:pStyle w:val="64"/>
                    <w:jc w:val="center"/>
                    <w:rPr>
                      <w:rFonts w:ascii="Times New Roman" w:hAnsi="Times New Roman" w:cs="Times New Roman"/>
                      <w:sz w:val="21"/>
                      <w:szCs w:val="21"/>
                      <w:lang w:val="zh-CN" w:eastAsia="zh-CN"/>
                    </w:rPr>
                  </w:pPr>
                  <w:r>
                    <w:rPr>
                      <w:rFonts w:ascii="Times New Roman" w:hAnsi="Times New Roman" w:cs="Times New Roman"/>
                      <w:sz w:val="21"/>
                      <w:szCs w:val="21"/>
                      <w:lang w:val="zh-CN" w:eastAsia="zh-CN"/>
                    </w:rPr>
                    <w:t>台</w:t>
                  </w:r>
                </w:p>
              </w:tc>
              <w:tc>
                <w:tcPr>
                  <w:tcW w:w="1249" w:type="dxa"/>
                  <w:vAlign w:val="center"/>
                </w:tcPr>
                <w:p>
                  <w:pPr>
                    <w:jc w:val="center"/>
                    <w:rPr>
                      <w:rFonts w:ascii="Times New Roman" w:hAnsi="Times New Roman" w:eastAsia="宋体" w:cs="Times New Roman"/>
                      <w:szCs w:val="21"/>
                      <w:lang w:val="zh-CN"/>
                    </w:rPr>
                  </w:pPr>
                  <w:r>
                    <w:rPr>
                      <w:rFonts w:ascii="Times New Roman" w:hAnsi="Times New Roman" w:eastAsia="宋体" w:cs="Times New Roman"/>
                      <w:szCs w:val="21"/>
                      <w:lang w:val="zh-CN"/>
                    </w:rPr>
                    <w:t>2</w:t>
                  </w:r>
                </w:p>
              </w:tc>
              <w:tc>
                <w:tcPr>
                  <w:tcW w:w="1667" w:type="dxa"/>
                  <w:vAlign w:val="center"/>
                </w:tcPr>
                <w:p>
                  <w:pPr>
                    <w:jc w:val="center"/>
                    <w:rPr>
                      <w:rFonts w:ascii="Times New Roman" w:hAnsi="Times New Roman" w:eastAsia="宋体" w:cs="Times New Roman"/>
                      <w:szCs w:val="21"/>
                      <w:lang w:val="zh-CN"/>
                    </w:rPr>
                  </w:pPr>
                  <w:r>
                    <w:rPr>
                      <w:rFonts w:ascii="Times New Roman" w:hAnsi="Times New Roman" w:eastAsia="宋体" w:cs="Times New Roman"/>
                      <w:szCs w:val="21"/>
                      <w:lang w:val="zh-CN"/>
                    </w:rPr>
                    <w:t>22KW</w:t>
                  </w:r>
                </w:p>
              </w:tc>
              <w:tc>
                <w:tcPr>
                  <w:tcW w:w="1418" w:type="dxa"/>
                  <w:vAlign w:val="center"/>
                </w:tcPr>
                <w:p>
                  <w:pPr>
                    <w:pStyle w:val="64"/>
                    <w:jc w:val="center"/>
                    <w:rPr>
                      <w:rFonts w:ascii="Times New Roman" w:hAnsi="Times New Roman" w:cs="Times New Roman"/>
                      <w:sz w:val="21"/>
                      <w:szCs w:val="21"/>
                      <w:lang w:val="zh-CN"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6" w:hRule="atLeast"/>
              </w:trPr>
              <w:tc>
                <w:tcPr>
                  <w:tcW w:w="568" w:type="dxa"/>
                  <w:vAlign w:val="center"/>
                </w:tcPr>
                <w:p>
                  <w:pPr>
                    <w:jc w:val="center"/>
                    <w:rPr>
                      <w:rFonts w:ascii="Times New Roman" w:hAnsi="Times New Roman" w:eastAsia="宋体" w:cs="Times New Roman"/>
                      <w:szCs w:val="21"/>
                      <w:lang w:val="zh-CN"/>
                    </w:rPr>
                  </w:pPr>
                  <w:r>
                    <w:rPr>
                      <w:rFonts w:hint="eastAsia" w:ascii="Times New Roman" w:hAnsi="Times New Roman" w:eastAsia="宋体" w:cs="Times New Roman"/>
                      <w:szCs w:val="21"/>
                    </w:rPr>
                    <w:t>6</w:t>
                  </w:r>
                </w:p>
              </w:tc>
              <w:tc>
                <w:tcPr>
                  <w:tcW w:w="1421" w:type="dxa"/>
                  <w:vAlign w:val="center"/>
                </w:tcPr>
                <w:p>
                  <w:pPr>
                    <w:pStyle w:val="64"/>
                    <w:jc w:val="center"/>
                    <w:rPr>
                      <w:rFonts w:ascii="Times New Roman" w:hAnsi="Times New Roman" w:cs="Times New Roman"/>
                      <w:sz w:val="21"/>
                      <w:szCs w:val="21"/>
                      <w:lang w:val="zh-CN" w:eastAsia="zh-CN"/>
                    </w:rPr>
                  </w:pPr>
                  <w:r>
                    <w:rPr>
                      <w:rFonts w:hint="eastAsia" w:ascii="Times New Roman" w:hAnsi="Times New Roman" w:cs="Times New Roman"/>
                      <w:sz w:val="21"/>
                      <w:szCs w:val="21"/>
                      <w:lang w:eastAsia="zh-CN"/>
                    </w:rPr>
                    <w:t>滚筒筛</w:t>
                  </w:r>
                </w:p>
              </w:tc>
              <w:tc>
                <w:tcPr>
                  <w:tcW w:w="895" w:type="dxa"/>
                  <w:vAlign w:val="center"/>
                </w:tcPr>
                <w:p>
                  <w:pPr>
                    <w:pStyle w:val="64"/>
                    <w:jc w:val="center"/>
                    <w:rPr>
                      <w:rFonts w:ascii="Times New Roman" w:hAnsi="Times New Roman" w:cs="Times New Roman"/>
                      <w:sz w:val="21"/>
                      <w:szCs w:val="21"/>
                      <w:lang w:val="zh-CN" w:eastAsia="zh-CN"/>
                    </w:rPr>
                  </w:pPr>
                  <w:r>
                    <w:rPr>
                      <w:rFonts w:ascii="Times New Roman" w:hAnsi="Times New Roman" w:cs="Times New Roman"/>
                      <w:sz w:val="21"/>
                      <w:szCs w:val="21"/>
                      <w:lang w:val="zh-CN" w:eastAsia="zh-CN"/>
                    </w:rPr>
                    <w:t>台</w:t>
                  </w:r>
                </w:p>
              </w:tc>
              <w:tc>
                <w:tcPr>
                  <w:tcW w:w="1249" w:type="dxa"/>
                  <w:vAlign w:val="center"/>
                </w:tcPr>
                <w:p>
                  <w:pPr>
                    <w:jc w:val="center"/>
                    <w:rPr>
                      <w:rFonts w:ascii="Times New Roman" w:hAnsi="Times New Roman" w:eastAsia="宋体" w:cs="Times New Roman"/>
                      <w:szCs w:val="21"/>
                      <w:lang w:val="zh-CN"/>
                    </w:rPr>
                  </w:pPr>
                  <w:r>
                    <w:rPr>
                      <w:rFonts w:ascii="Times New Roman" w:hAnsi="Times New Roman" w:eastAsia="宋体" w:cs="Times New Roman"/>
                      <w:szCs w:val="21"/>
                      <w:lang w:val="zh-CN"/>
                    </w:rPr>
                    <w:t>2</w:t>
                  </w:r>
                </w:p>
              </w:tc>
              <w:tc>
                <w:tcPr>
                  <w:tcW w:w="1667"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直径1.2m*4m</w:t>
                  </w:r>
                </w:p>
              </w:tc>
              <w:tc>
                <w:tcPr>
                  <w:tcW w:w="1418" w:type="dxa"/>
                  <w:vAlign w:val="center"/>
                </w:tcPr>
                <w:p>
                  <w:pPr>
                    <w:pStyle w:val="64"/>
                    <w:jc w:val="center"/>
                    <w:rPr>
                      <w:rFonts w:ascii="Times New Roman" w:hAnsi="Times New Roman" w:cs="Times New Roman"/>
                      <w:sz w:val="21"/>
                      <w:szCs w:val="21"/>
                      <w:lang w:val="zh-CN"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5" w:hRule="atLeast"/>
              </w:trPr>
              <w:tc>
                <w:tcPr>
                  <w:tcW w:w="568" w:type="dxa"/>
                  <w:vAlign w:val="center"/>
                </w:tcPr>
                <w:p>
                  <w:pPr>
                    <w:jc w:val="center"/>
                    <w:rPr>
                      <w:rFonts w:ascii="Times New Roman" w:hAnsi="Times New Roman" w:eastAsia="宋体" w:cs="Times New Roman"/>
                      <w:szCs w:val="21"/>
                      <w:lang w:val="zh-CN"/>
                    </w:rPr>
                  </w:pPr>
                  <w:r>
                    <w:rPr>
                      <w:rFonts w:hint="eastAsia" w:ascii="Times New Roman" w:hAnsi="Times New Roman" w:eastAsia="宋体" w:cs="Times New Roman"/>
                      <w:szCs w:val="21"/>
                    </w:rPr>
                    <w:t>7</w:t>
                  </w:r>
                </w:p>
              </w:tc>
              <w:tc>
                <w:tcPr>
                  <w:tcW w:w="1421" w:type="dxa"/>
                  <w:vAlign w:val="center"/>
                </w:tcPr>
                <w:p>
                  <w:pPr>
                    <w:pStyle w:val="64"/>
                    <w:jc w:val="center"/>
                    <w:rPr>
                      <w:rFonts w:ascii="Times New Roman" w:hAnsi="Times New Roman" w:cs="Times New Roman"/>
                      <w:sz w:val="21"/>
                      <w:szCs w:val="21"/>
                      <w:lang w:eastAsia="zh-CN"/>
                    </w:rPr>
                  </w:pPr>
                  <w:r>
                    <w:rPr>
                      <w:rFonts w:hint="eastAsia" w:ascii="Times New Roman" w:hAnsi="Times New Roman" w:cs="Times New Roman"/>
                      <w:sz w:val="21"/>
                      <w:szCs w:val="21"/>
                      <w:lang w:eastAsia="zh-CN"/>
                    </w:rPr>
                    <w:t>四排洗沙轮</w:t>
                  </w:r>
                </w:p>
              </w:tc>
              <w:tc>
                <w:tcPr>
                  <w:tcW w:w="895" w:type="dxa"/>
                  <w:vAlign w:val="center"/>
                </w:tcPr>
                <w:p>
                  <w:pPr>
                    <w:pStyle w:val="64"/>
                    <w:jc w:val="center"/>
                    <w:rPr>
                      <w:rFonts w:ascii="Times New Roman" w:hAnsi="Times New Roman" w:cs="Times New Roman"/>
                      <w:sz w:val="21"/>
                      <w:szCs w:val="21"/>
                      <w:lang w:val="zh-CN" w:eastAsia="zh-CN"/>
                    </w:rPr>
                  </w:pPr>
                  <w:r>
                    <w:rPr>
                      <w:rFonts w:ascii="Times New Roman" w:hAnsi="Times New Roman" w:cs="Times New Roman"/>
                      <w:sz w:val="21"/>
                      <w:szCs w:val="21"/>
                      <w:lang w:val="zh-CN" w:eastAsia="zh-CN"/>
                    </w:rPr>
                    <w:t>台</w:t>
                  </w:r>
                </w:p>
              </w:tc>
              <w:tc>
                <w:tcPr>
                  <w:tcW w:w="1249" w:type="dxa"/>
                  <w:vAlign w:val="center"/>
                </w:tcPr>
                <w:p>
                  <w:pPr>
                    <w:jc w:val="center"/>
                    <w:rPr>
                      <w:rFonts w:ascii="Times New Roman" w:hAnsi="Times New Roman" w:eastAsia="宋体" w:cs="Times New Roman"/>
                      <w:szCs w:val="21"/>
                      <w:lang w:val="zh-CN"/>
                    </w:rPr>
                  </w:pPr>
                  <w:r>
                    <w:rPr>
                      <w:rFonts w:hint="eastAsia" w:ascii="Times New Roman" w:hAnsi="Times New Roman" w:eastAsia="宋体" w:cs="Times New Roman"/>
                      <w:szCs w:val="21"/>
                    </w:rPr>
                    <w:t>2</w:t>
                  </w:r>
                </w:p>
              </w:tc>
              <w:tc>
                <w:tcPr>
                  <w:tcW w:w="1667"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20*40</w:t>
                  </w:r>
                </w:p>
              </w:tc>
              <w:tc>
                <w:tcPr>
                  <w:tcW w:w="1418" w:type="dxa"/>
                  <w:vAlign w:val="center"/>
                </w:tcPr>
                <w:p>
                  <w:pPr>
                    <w:jc w:val="center"/>
                    <w:rPr>
                      <w:rFonts w:ascii="Times New Roman" w:hAnsi="Times New Roman" w:eastAsia="宋体" w:cs="Times New Roman"/>
                      <w:szCs w:val="21"/>
                      <w:lang w:val="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7" w:hRule="atLeast"/>
              </w:trPr>
              <w:tc>
                <w:tcPr>
                  <w:tcW w:w="568" w:type="dxa"/>
                  <w:vAlign w:val="center"/>
                </w:tcPr>
                <w:p>
                  <w:pPr>
                    <w:jc w:val="center"/>
                    <w:rPr>
                      <w:rFonts w:ascii="Times New Roman" w:hAnsi="Times New Roman" w:eastAsia="宋体" w:cs="Times New Roman"/>
                      <w:szCs w:val="21"/>
                      <w:lang w:val="zh-CN"/>
                    </w:rPr>
                  </w:pPr>
                  <w:r>
                    <w:rPr>
                      <w:rFonts w:hint="eastAsia" w:ascii="Times New Roman" w:hAnsi="Times New Roman" w:eastAsia="宋体" w:cs="Times New Roman"/>
                      <w:szCs w:val="21"/>
                    </w:rPr>
                    <w:t>8</w:t>
                  </w:r>
                </w:p>
              </w:tc>
              <w:tc>
                <w:tcPr>
                  <w:tcW w:w="1421" w:type="dxa"/>
                  <w:vAlign w:val="center"/>
                </w:tcPr>
                <w:p>
                  <w:pPr>
                    <w:pStyle w:val="64"/>
                    <w:jc w:val="center"/>
                    <w:rPr>
                      <w:rFonts w:ascii="Times New Roman" w:hAnsi="Times New Roman" w:cs="Times New Roman"/>
                      <w:sz w:val="21"/>
                      <w:szCs w:val="21"/>
                      <w:lang w:eastAsia="zh-CN"/>
                    </w:rPr>
                  </w:pPr>
                  <w:r>
                    <w:rPr>
                      <w:rFonts w:hint="eastAsia" w:ascii="Times New Roman" w:hAnsi="Times New Roman" w:cs="Times New Roman"/>
                      <w:sz w:val="21"/>
                      <w:szCs w:val="21"/>
                      <w:lang w:eastAsia="zh-CN"/>
                    </w:rPr>
                    <w:t>托盘筛</w:t>
                  </w:r>
                </w:p>
              </w:tc>
              <w:tc>
                <w:tcPr>
                  <w:tcW w:w="895" w:type="dxa"/>
                  <w:vAlign w:val="center"/>
                </w:tcPr>
                <w:p>
                  <w:pPr>
                    <w:pStyle w:val="64"/>
                    <w:jc w:val="center"/>
                    <w:rPr>
                      <w:rFonts w:ascii="Times New Roman" w:hAnsi="Times New Roman" w:cs="Times New Roman"/>
                      <w:sz w:val="21"/>
                      <w:szCs w:val="21"/>
                      <w:lang w:val="zh-CN" w:eastAsia="zh-CN"/>
                    </w:rPr>
                  </w:pPr>
                  <w:r>
                    <w:rPr>
                      <w:rFonts w:ascii="Times New Roman" w:hAnsi="Times New Roman" w:cs="Times New Roman"/>
                      <w:sz w:val="21"/>
                      <w:szCs w:val="21"/>
                      <w:lang w:val="zh-CN" w:eastAsia="zh-CN"/>
                    </w:rPr>
                    <w:t>台</w:t>
                  </w:r>
                </w:p>
              </w:tc>
              <w:tc>
                <w:tcPr>
                  <w:tcW w:w="1249" w:type="dxa"/>
                  <w:vAlign w:val="center"/>
                </w:tcPr>
                <w:p>
                  <w:pPr>
                    <w:jc w:val="center"/>
                    <w:rPr>
                      <w:rFonts w:ascii="Times New Roman" w:hAnsi="Times New Roman" w:eastAsia="宋体" w:cs="Times New Roman"/>
                      <w:szCs w:val="21"/>
                      <w:lang w:val="zh-CN"/>
                    </w:rPr>
                  </w:pPr>
                  <w:r>
                    <w:rPr>
                      <w:rFonts w:ascii="Times New Roman" w:hAnsi="Times New Roman" w:eastAsia="宋体" w:cs="Times New Roman"/>
                      <w:szCs w:val="21"/>
                      <w:lang w:val="zh-CN"/>
                    </w:rPr>
                    <w:t>2</w:t>
                  </w:r>
                </w:p>
              </w:tc>
              <w:tc>
                <w:tcPr>
                  <w:tcW w:w="1667" w:type="dxa"/>
                  <w:vAlign w:val="center"/>
                </w:tcPr>
                <w:p>
                  <w:pPr>
                    <w:jc w:val="center"/>
                    <w:rPr>
                      <w:rFonts w:ascii="Times New Roman" w:hAnsi="Times New Roman" w:eastAsia="宋体" w:cs="Times New Roman"/>
                      <w:szCs w:val="21"/>
                      <w:lang w:val="zh-CN"/>
                    </w:rPr>
                  </w:pPr>
                  <w:r>
                    <w:rPr>
                      <w:rFonts w:ascii="Times New Roman" w:hAnsi="Times New Roman" w:eastAsia="宋体" w:cs="Times New Roman"/>
                      <w:szCs w:val="21"/>
                      <w:lang w:val="zh-CN"/>
                    </w:rPr>
                    <w:t>37.5KW</w:t>
                  </w:r>
                </w:p>
              </w:tc>
              <w:tc>
                <w:tcPr>
                  <w:tcW w:w="1418" w:type="dxa"/>
                  <w:vAlign w:val="center"/>
                </w:tcPr>
                <w:p>
                  <w:pPr>
                    <w:jc w:val="center"/>
                    <w:rPr>
                      <w:rFonts w:ascii="Times New Roman" w:hAnsi="Times New Roman" w:eastAsia="宋体" w:cs="Times New Roman"/>
                      <w:szCs w:val="21"/>
                      <w:lang w:val="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7" w:hRule="atLeast"/>
              </w:trPr>
              <w:tc>
                <w:tcPr>
                  <w:tcW w:w="568"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9</w:t>
                  </w:r>
                </w:p>
              </w:tc>
              <w:tc>
                <w:tcPr>
                  <w:tcW w:w="1421" w:type="dxa"/>
                  <w:vAlign w:val="center"/>
                </w:tcPr>
                <w:p>
                  <w:pPr>
                    <w:pStyle w:val="64"/>
                    <w:jc w:val="center"/>
                    <w:rPr>
                      <w:rFonts w:ascii="Times New Roman" w:hAnsi="Times New Roman" w:cs="Times New Roman"/>
                      <w:sz w:val="21"/>
                      <w:szCs w:val="21"/>
                      <w:lang w:eastAsia="zh-CN"/>
                    </w:rPr>
                  </w:pPr>
                  <w:r>
                    <w:rPr>
                      <w:rFonts w:hint="eastAsia" w:ascii="Times New Roman" w:hAnsi="Times New Roman" w:cs="Times New Roman"/>
                      <w:sz w:val="21"/>
                      <w:szCs w:val="21"/>
                      <w:lang w:eastAsia="zh-CN"/>
                    </w:rPr>
                    <w:t>压滤机</w:t>
                  </w:r>
                </w:p>
              </w:tc>
              <w:tc>
                <w:tcPr>
                  <w:tcW w:w="895" w:type="dxa"/>
                  <w:vAlign w:val="center"/>
                </w:tcPr>
                <w:p>
                  <w:pPr>
                    <w:pStyle w:val="64"/>
                    <w:jc w:val="center"/>
                    <w:rPr>
                      <w:rFonts w:ascii="Times New Roman" w:hAnsi="Times New Roman" w:cs="Times New Roman"/>
                      <w:sz w:val="21"/>
                      <w:szCs w:val="21"/>
                      <w:lang w:val="zh-CN" w:eastAsia="zh-CN"/>
                    </w:rPr>
                  </w:pPr>
                  <w:r>
                    <w:rPr>
                      <w:rFonts w:ascii="Times New Roman" w:hAnsi="Times New Roman" w:cs="Times New Roman"/>
                      <w:sz w:val="21"/>
                      <w:szCs w:val="21"/>
                      <w:lang w:val="zh-CN" w:eastAsia="zh-CN"/>
                    </w:rPr>
                    <w:t>台</w:t>
                  </w:r>
                </w:p>
              </w:tc>
              <w:tc>
                <w:tcPr>
                  <w:tcW w:w="1249" w:type="dxa"/>
                  <w:vAlign w:val="center"/>
                </w:tcPr>
                <w:p>
                  <w:pPr>
                    <w:jc w:val="center"/>
                    <w:rPr>
                      <w:rFonts w:ascii="Times New Roman" w:hAnsi="Times New Roman" w:eastAsia="宋体" w:cs="Times New Roman"/>
                      <w:szCs w:val="21"/>
                      <w:lang w:val="zh-CN"/>
                    </w:rPr>
                  </w:pPr>
                  <w:r>
                    <w:rPr>
                      <w:rFonts w:hint="eastAsia" w:ascii="Times New Roman" w:hAnsi="Times New Roman" w:eastAsia="宋体" w:cs="Times New Roman"/>
                      <w:szCs w:val="21"/>
                    </w:rPr>
                    <w:t>1</w:t>
                  </w:r>
                </w:p>
              </w:tc>
              <w:tc>
                <w:tcPr>
                  <w:tcW w:w="1667" w:type="dxa"/>
                  <w:vAlign w:val="center"/>
                </w:tcPr>
                <w:p>
                  <w:pPr>
                    <w:jc w:val="center"/>
                    <w:rPr>
                      <w:rFonts w:ascii="Times New Roman" w:hAnsi="Times New Roman" w:eastAsia="宋体" w:cs="Times New Roman"/>
                      <w:szCs w:val="21"/>
                      <w:lang w:val="zh-CN"/>
                    </w:rPr>
                  </w:pPr>
                  <w:r>
                    <w:rPr>
                      <w:rFonts w:hint="eastAsia" w:ascii="Times New Roman" w:hAnsi="Times New Roman" w:eastAsia="宋体" w:cs="Times New Roman"/>
                      <w:szCs w:val="21"/>
                    </w:rPr>
                    <w:t>/</w:t>
                  </w:r>
                </w:p>
              </w:tc>
              <w:tc>
                <w:tcPr>
                  <w:tcW w:w="1418" w:type="dxa"/>
                  <w:vAlign w:val="center"/>
                </w:tcPr>
                <w:p>
                  <w:pPr>
                    <w:jc w:val="center"/>
                    <w:rPr>
                      <w:rFonts w:ascii="Times New Roman" w:hAnsi="Times New Roman" w:eastAsia="宋体" w:cs="Times New Roman"/>
                      <w:szCs w:val="21"/>
                      <w:lang w:val="zh-CN"/>
                    </w:rPr>
                  </w:pPr>
                </w:p>
              </w:tc>
            </w:tr>
          </w:tbl>
          <w:p>
            <w:pPr>
              <w:widowControl/>
              <w:spacing w:line="360" w:lineRule="auto"/>
              <w:ind w:firstLine="482" w:firstLineChars="200"/>
              <w:rPr>
                <w:rFonts w:ascii="Times New Roman" w:hAnsi="Times New Roman" w:eastAsia="宋体" w:cs="Times New Roman"/>
                <w:b/>
                <w:sz w:val="24"/>
                <w:lang w:bidi="ar"/>
              </w:rPr>
            </w:pPr>
          </w:p>
          <w:p>
            <w:pPr>
              <w:widowControl/>
              <w:spacing w:line="360" w:lineRule="auto"/>
              <w:ind w:firstLine="482" w:firstLineChars="200"/>
              <w:rPr>
                <w:rFonts w:ascii="Times New Roman" w:hAnsi="Times New Roman" w:eastAsia="宋体" w:cs="Times New Roman"/>
                <w:b/>
                <w:sz w:val="24"/>
              </w:rPr>
            </w:pPr>
            <w:r>
              <w:rPr>
                <w:rFonts w:ascii="Times New Roman" w:hAnsi="Times New Roman" w:eastAsia="宋体" w:cs="Times New Roman"/>
                <w:b/>
                <w:sz w:val="24"/>
                <w:lang w:bidi="ar"/>
              </w:rPr>
              <w:t>5、产品方案</w:t>
            </w:r>
          </w:p>
          <w:p>
            <w:pPr>
              <w:widowControl/>
              <w:spacing w:line="360" w:lineRule="auto"/>
              <w:ind w:firstLine="480" w:firstLineChars="200"/>
              <w:rPr>
                <w:rFonts w:ascii="Times New Roman" w:hAnsi="Times New Roman" w:eastAsia="宋体" w:cs="Times New Roman"/>
                <w:bCs/>
                <w:sz w:val="24"/>
                <w:lang w:bidi="ar"/>
              </w:rPr>
            </w:pPr>
            <w:r>
              <w:rPr>
                <w:rFonts w:ascii="Times New Roman" w:hAnsi="Times New Roman" w:eastAsia="宋体" w:cs="Times New Roman"/>
                <w:bCs/>
                <w:sz w:val="24"/>
                <w:lang w:bidi="ar"/>
              </w:rPr>
              <w:t>本项目产品主要</w:t>
            </w:r>
            <w:r>
              <w:rPr>
                <w:rFonts w:hint="eastAsia" w:ascii="Times New Roman" w:hAnsi="Times New Roman" w:eastAsia="宋体" w:cs="Times New Roman"/>
                <w:bCs/>
                <w:sz w:val="24"/>
                <w:lang w:bidi="ar"/>
              </w:rPr>
              <w:t>水洗沙</w:t>
            </w:r>
            <w:r>
              <w:rPr>
                <w:rFonts w:ascii="Times New Roman" w:hAnsi="Times New Roman" w:eastAsia="宋体" w:cs="Times New Roman"/>
                <w:bCs/>
                <w:sz w:val="24"/>
                <w:lang w:bidi="ar"/>
              </w:rPr>
              <w:t>，具体</w:t>
            </w:r>
            <w:r>
              <w:rPr>
                <w:rFonts w:ascii="Times New Roman" w:hAnsi="Times New Roman" w:eastAsia="宋体" w:cs="Times New Roman"/>
                <w:sz w:val="24"/>
                <w:lang w:bidi="ar"/>
              </w:rPr>
              <w:t>情况详见表2-4所示</w:t>
            </w:r>
            <w:r>
              <w:rPr>
                <w:rFonts w:ascii="Times New Roman" w:hAnsi="Times New Roman" w:eastAsia="宋体" w:cs="Times New Roman"/>
                <w:bCs/>
                <w:sz w:val="24"/>
                <w:lang w:bidi="ar"/>
              </w:rPr>
              <w:t>。</w:t>
            </w:r>
          </w:p>
          <w:p>
            <w:pPr>
              <w:widowControl/>
              <w:adjustRightInd w:val="0"/>
              <w:snapToGrid w:val="0"/>
              <w:jc w:val="center"/>
              <w:textAlignment w:val="baseline"/>
              <w:rPr>
                <w:rFonts w:ascii="Times New Roman" w:hAnsi="Times New Roman" w:eastAsia="宋体" w:cs="Times New Roman"/>
                <w:b/>
                <w:szCs w:val="21"/>
              </w:rPr>
            </w:pPr>
            <w:r>
              <w:rPr>
                <w:rFonts w:ascii="Times New Roman" w:hAnsi="Times New Roman" w:eastAsia="宋体" w:cs="Times New Roman"/>
                <w:b/>
                <w:szCs w:val="21"/>
                <w:lang w:bidi="ar"/>
              </w:rPr>
              <w:t>表2-4 主要产品情况一览表</w:t>
            </w:r>
          </w:p>
          <w:tbl>
            <w:tblPr>
              <w:tblStyle w:val="29"/>
              <w:tblW w:w="48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33"/>
              <w:gridCol w:w="1579"/>
              <w:gridCol w:w="2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 w:hRule="atLeast"/>
                <w:jc w:val="center"/>
              </w:trPr>
              <w:tc>
                <w:tcPr>
                  <w:tcW w:w="2235" w:type="pct"/>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产品名称</w:t>
                  </w:r>
                </w:p>
              </w:tc>
              <w:tc>
                <w:tcPr>
                  <w:tcW w:w="1028" w:type="pct"/>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单位</w:t>
                  </w:r>
                </w:p>
              </w:tc>
              <w:tc>
                <w:tcPr>
                  <w:tcW w:w="1736" w:type="pct"/>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2235" w:type="pct"/>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水洗沙</w:t>
                  </w:r>
                </w:p>
              </w:tc>
              <w:tc>
                <w:tcPr>
                  <w:tcW w:w="1028" w:type="pct"/>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 w:val="20"/>
                      <w:szCs w:val="20"/>
                    </w:rPr>
                    <w:t>万t</w:t>
                  </w:r>
                  <w:r>
                    <w:rPr>
                      <w:rFonts w:ascii="Times New Roman" w:hAnsi="Times New Roman" w:eastAsia="Times New Roman" w:cs="Times New Roman"/>
                      <w:sz w:val="20"/>
                      <w:szCs w:val="20"/>
                    </w:rPr>
                    <w:t>/a</w:t>
                  </w:r>
                </w:p>
              </w:tc>
              <w:tc>
                <w:tcPr>
                  <w:tcW w:w="1736" w:type="pct"/>
                  <w:vAlign w:val="center"/>
                </w:tcPr>
                <w:p>
                  <w:pPr>
                    <w:adjustRightInd w:val="0"/>
                    <w:snapToGrid w:val="0"/>
                    <w:jc w:val="center"/>
                    <w:rPr>
                      <w:rFonts w:ascii="Times New Roman" w:hAnsi="Times New Roman" w:eastAsia="宋体" w:cs="Times New Roman"/>
                      <w:szCs w:val="21"/>
                    </w:rPr>
                  </w:pPr>
                  <w:r>
                    <w:rPr>
                      <w:rFonts w:hint="eastAsia" w:ascii="Times New Roman" w:hAnsi="Times New Roman" w:cs="Times New Roman"/>
                      <w:spacing w:val="-3"/>
                    </w:rPr>
                    <w:t>154.56</w:t>
                  </w:r>
                  <w:r>
                    <w:rPr>
                      <w:rFonts w:hint="eastAsia" w:ascii="Times New Roman" w:hAnsi="Times New Roman" w:eastAsia="宋体" w:cs="Times New Roman"/>
                      <w:szCs w:val="21"/>
                    </w:rPr>
                    <w:t>（含水率20%）</w:t>
                  </w:r>
                </w:p>
              </w:tc>
            </w:tr>
          </w:tbl>
          <w:p>
            <w:pPr>
              <w:widowControl/>
              <w:adjustRightInd w:val="0"/>
              <w:snapToGrid w:val="0"/>
              <w:spacing w:line="360" w:lineRule="auto"/>
              <w:ind w:firstLine="482" w:firstLineChars="200"/>
              <w:rPr>
                <w:rFonts w:ascii="Times New Roman" w:hAnsi="Times New Roman" w:eastAsia="宋体" w:cs="Times New Roman"/>
                <w:b/>
                <w:sz w:val="24"/>
                <w:lang w:bidi="ar"/>
              </w:rPr>
            </w:pPr>
          </w:p>
          <w:p>
            <w:pPr>
              <w:widowControl/>
              <w:adjustRightInd w:val="0"/>
              <w:snapToGrid w:val="0"/>
              <w:spacing w:line="360" w:lineRule="auto"/>
              <w:ind w:firstLine="482" w:firstLineChars="200"/>
              <w:rPr>
                <w:rFonts w:ascii="Times New Roman" w:hAnsi="Times New Roman" w:eastAsia="宋体" w:cs="Times New Roman"/>
                <w:sz w:val="24"/>
              </w:rPr>
            </w:pPr>
            <w:r>
              <w:rPr>
                <w:rFonts w:ascii="Times New Roman" w:hAnsi="Times New Roman" w:eastAsia="宋体" w:cs="Times New Roman"/>
                <w:b/>
                <w:sz w:val="24"/>
                <w:lang w:bidi="ar"/>
              </w:rPr>
              <w:t>6、</w:t>
            </w:r>
            <w:r>
              <w:rPr>
                <w:rFonts w:hint="eastAsia" w:ascii="Times New Roman" w:hAnsi="Times New Roman" w:eastAsia="宋体" w:cs="Times New Roman"/>
                <w:b/>
                <w:sz w:val="24"/>
              </w:rPr>
              <w:t>水量平衡分析</w:t>
            </w:r>
          </w:p>
          <w:p>
            <w:pPr>
              <w:pStyle w:val="36"/>
              <w:snapToGrid w:val="0"/>
              <w:spacing w:line="360" w:lineRule="auto"/>
              <w:ind w:firstLine="480" w:firstLineChars="200"/>
              <w:jc w:val="both"/>
              <w:rPr>
                <w:rFonts w:ascii="Times New Roman" w:cs="Times New Roman"/>
                <w:color w:val="auto"/>
              </w:rPr>
            </w:pPr>
            <w:r>
              <w:rPr>
                <w:rFonts w:ascii="Times New Roman" w:cs="Times New Roman"/>
                <w:color w:val="auto"/>
              </w:rPr>
              <w:t>本项目运营期用水主要为生活用水、</w:t>
            </w:r>
            <w:r>
              <w:rPr>
                <w:rFonts w:hint="eastAsia" w:ascii="Times New Roman" w:cs="Times New Roman"/>
                <w:color w:val="auto"/>
              </w:rPr>
              <w:t>生产</w:t>
            </w:r>
            <w:r>
              <w:rPr>
                <w:rFonts w:ascii="Times New Roman" w:cs="Times New Roman"/>
                <w:color w:val="auto"/>
              </w:rPr>
              <w:t>用水及绿化用水。产生的废水主要为</w:t>
            </w:r>
            <w:r>
              <w:rPr>
                <w:rFonts w:hint="eastAsia" w:ascii="Times New Roman" w:cs="Times New Roman"/>
                <w:color w:val="auto"/>
              </w:rPr>
              <w:t>生产废水及生活污水</w:t>
            </w:r>
            <w:r>
              <w:rPr>
                <w:rFonts w:ascii="Times New Roman" w:cs="Times New Roman"/>
                <w:color w:val="auto"/>
              </w:rPr>
              <w:t>。</w:t>
            </w:r>
          </w:p>
          <w:p>
            <w:pPr>
              <w:pStyle w:val="36"/>
              <w:snapToGrid w:val="0"/>
              <w:spacing w:line="360" w:lineRule="auto"/>
              <w:ind w:firstLine="482" w:firstLineChars="200"/>
              <w:jc w:val="both"/>
              <w:rPr>
                <w:rFonts w:ascii="Times New Roman" w:cs="Times New Roman"/>
                <w:b/>
                <w:bCs/>
                <w:color w:val="auto"/>
              </w:rPr>
            </w:pPr>
            <w:r>
              <w:rPr>
                <w:rFonts w:ascii="Times New Roman" w:cs="Times New Roman"/>
                <w:b/>
                <w:bCs/>
                <w:color w:val="auto"/>
              </w:rPr>
              <w:t>（1）生活</w:t>
            </w:r>
            <w:r>
              <w:rPr>
                <w:rFonts w:hint="eastAsia" w:ascii="Times New Roman" w:cs="Times New Roman"/>
                <w:b/>
                <w:bCs/>
                <w:color w:val="auto"/>
              </w:rPr>
              <w:t>污水</w:t>
            </w:r>
          </w:p>
          <w:p>
            <w:pPr>
              <w:pStyle w:val="36"/>
              <w:snapToGrid w:val="0"/>
              <w:spacing w:line="360" w:lineRule="auto"/>
              <w:ind w:firstLine="480" w:firstLineChars="200"/>
              <w:jc w:val="both"/>
              <w:rPr>
                <w:rFonts w:ascii="Times New Roman" w:cs="Times New Roman"/>
                <w:color w:val="auto"/>
              </w:rPr>
            </w:pPr>
            <w:r>
              <w:rPr>
                <w:rFonts w:ascii="Times New Roman" w:cs="Times New Roman"/>
                <w:color w:val="auto"/>
              </w:rPr>
              <w:t>项目劳动定员</w:t>
            </w:r>
            <w:r>
              <w:rPr>
                <w:rFonts w:hint="eastAsia" w:ascii="Times New Roman" w:cs="Times New Roman"/>
                <w:color w:val="auto"/>
              </w:rPr>
              <w:t>1</w:t>
            </w:r>
            <w:r>
              <w:rPr>
                <w:rFonts w:ascii="Times New Roman" w:cs="Times New Roman"/>
                <w:color w:val="auto"/>
              </w:rPr>
              <w:t>0人，生产人员在厂区内食宿。根据《云南省地方标准 用水定额》（DB53/T168-2019），用水量按</w:t>
            </w:r>
            <w:r>
              <w:rPr>
                <w:rFonts w:hint="eastAsia" w:ascii="Times New Roman" w:cs="Times New Roman"/>
                <w:color w:val="auto"/>
              </w:rPr>
              <w:t>10</w:t>
            </w:r>
            <w:r>
              <w:rPr>
                <w:rFonts w:ascii="Times New Roman" w:cs="Times New Roman"/>
                <w:color w:val="auto"/>
              </w:rPr>
              <w:t>0L/人·d计算，年生产300天，则生活用水量为</w:t>
            </w:r>
            <w:r>
              <w:rPr>
                <w:rFonts w:hint="eastAsia" w:ascii="Times New Roman" w:cs="Times New Roman"/>
                <w:color w:val="auto"/>
              </w:rPr>
              <w:t>1</w:t>
            </w:r>
            <w:r>
              <w:rPr>
                <w:rFonts w:ascii="Times New Roman" w:cs="Times New Roman"/>
                <w:color w:val="auto"/>
              </w:rPr>
              <w:t>m³/d，</w:t>
            </w:r>
            <w:r>
              <w:rPr>
                <w:rFonts w:hint="eastAsia" w:ascii="Times New Roman" w:cs="Times New Roman"/>
                <w:color w:val="auto"/>
              </w:rPr>
              <w:t>300</w:t>
            </w:r>
            <w:r>
              <w:rPr>
                <w:rFonts w:ascii="Times New Roman" w:cs="Times New Roman"/>
                <w:color w:val="auto"/>
              </w:rPr>
              <w:t>m³/a。废水产生量按用水量的80%计算，则废水产生量为</w:t>
            </w:r>
            <w:r>
              <w:rPr>
                <w:rFonts w:hint="eastAsia" w:ascii="Times New Roman" w:cs="Times New Roman"/>
                <w:color w:val="auto"/>
              </w:rPr>
              <w:t>0.8</w:t>
            </w:r>
            <w:r>
              <w:rPr>
                <w:rFonts w:ascii="Times New Roman" w:cs="Times New Roman"/>
                <w:color w:val="auto"/>
              </w:rPr>
              <w:t>m³/d，</w:t>
            </w:r>
            <w:r>
              <w:rPr>
                <w:rFonts w:hint="eastAsia" w:ascii="Times New Roman" w:cs="Times New Roman"/>
                <w:color w:val="auto"/>
              </w:rPr>
              <w:t>240</w:t>
            </w:r>
            <w:r>
              <w:rPr>
                <w:rFonts w:ascii="Times New Roman" w:cs="Times New Roman"/>
                <w:color w:val="auto"/>
              </w:rPr>
              <w:t>m³/a。办公生活污水化粪池处理后，</w:t>
            </w:r>
            <w:r>
              <w:rPr>
                <w:rFonts w:hint="eastAsia" w:ascii="Times New Roman" w:cs="Times New Roman"/>
                <w:color w:val="auto"/>
              </w:rPr>
              <w:t>委托当地居民清掏用作农肥使用</w:t>
            </w:r>
            <w:r>
              <w:rPr>
                <w:rFonts w:ascii="Times New Roman" w:cs="Times New Roman"/>
                <w:color w:val="auto"/>
              </w:rPr>
              <w:t>。</w:t>
            </w:r>
          </w:p>
          <w:p>
            <w:pPr>
              <w:pStyle w:val="36"/>
              <w:snapToGrid w:val="0"/>
              <w:spacing w:line="360" w:lineRule="auto"/>
              <w:ind w:firstLine="482" w:firstLineChars="200"/>
              <w:jc w:val="both"/>
              <w:rPr>
                <w:rFonts w:ascii="Times New Roman" w:cs="Times New Roman"/>
                <w:b/>
                <w:bCs/>
                <w:color w:val="auto"/>
              </w:rPr>
            </w:pPr>
            <w:r>
              <w:rPr>
                <w:rFonts w:ascii="Times New Roman" w:cs="Times New Roman"/>
                <w:b/>
                <w:bCs/>
                <w:color w:val="auto"/>
              </w:rPr>
              <w:t>（2）</w:t>
            </w:r>
            <w:r>
              <w:rPr>
                <w:rFonts w:hint="eastAsia" w:ascii="Times New Roman" w:cs="Times New Roman"/>
                <w:b/>
                <w:bCs/>
                <w:color w:val="auto"/>
              </w:rPr>
              <w:t>生产污水</w:t>
            </w:r>
          </w:p>
          <w:p>
            <w:pPr>
              <w:pStyle w:val="64"/>
              <w:spacing w:line="360" w:lineRule="auto"/>
              <w:ind w:firstLine="452" w:firstLineChars="200"/>
              <w:rPr>
                <w:spacing w:val="-3"/>
                <w:lang w:eastAsia="zh-CN"/>
              </w:rPr>
            </w:pPr>
            <w:r>
              <w:rPr>
                <w:spacing w:val="-7"/>
                <w:lang w:eastAsia="zh-CN"/>
              </w:rPr>
              <w:t>项目存在水</w:t>
            </w:r>
            <w:r>
              <w:rPr>
                <w:rFonts w:hint="eastAsia"/>
                <w:spacing w:val="-7"/>
                <w:lang w:eastAsia="zh-CN"/>
              </w:rPr>
              <w:t>洗沙</w:t>
            </w:r>
            <w:r>
              <w:rPr>
                <w:spacing w:val="-7"/>
                <w:lang w:eastAsia="zh-CN"/>
              </w:rPr>
              <w:t>生产工艺，生产用水主要为</w:t>
            </w:r>
            <w:r>
              <w:rPr>
                <w:rFonts w:hint="eastAsia"/>
                <w:spacing w:val="-7"/>
                <w:lang w:eastAsia="zh-CN"/>
              </w:rPr>
              <w:t>洗沙</w:t>
            </w:r>
            <w:r>
              <w:rPr>
                <w:spacing w:val="-7"/>
                <w:lang w:eastAsia="zh-CN"/>
              </w:rPr>
              <w:t>用水</w:t>
            </w:r>
            <w:r>
              <w:rPr>
                <w:rFonts w:hint="eastAsia"/>
                <w:spacing w:val="-7"/>
                <w:lang w:eastAsia="zh-CN"/>
              </w:rPr>
              <w:t>，</w:t>
            </w:r>
            <w:r>
              <w:rPr>
                <w:spacing w:val="-7"/>
                <w:lang w:eastAsia="zh-CN"/>
              </w:rPr>
              <w:t>整个进</w:t>
            </w:r>
            <w:r>
              <w:rPr>
                <w:spacing w:val="-8"/>
                <w:lang w:eastAsia="zh-CN"/>
              </w:rPr>
              <w:t>料</w:t>
            </w:r>
            <w:r>
              <w:rPr>
                <w:rFonts w:hint="eastAsia"/>
                <w:spacing w:val="-8"/>
                <w:lang w:eastAsia="zh-CN"/>
              </w:rPr>
              <w:t>、</w:t>
            </w:r>
            <w:r>
              <w:rPr>
                <w:spacing w:val="-8"/>
                <w:lang w:eastAsia="zh-CN"/>
              </w:rPr>
              <w:t>破碎、</w:t>
            </w:r>
            <w:r>
              <w:rPr>
                <w:spacing w:val="-3"/>
                <w:lang w:eastAsia="zh-CN"/>
              </w:rPr>
              <w:t>筛分、皮带输送均处于水洗湿润状态</w:t>
            </w:r>
            <w:r>
              <w:rPr>
                <w:rFonts w:hint="eastAsia"/>
                <w:spacing w:val="-3"/>
                <w:lang w:eastAsia="zh-CN"/>
              </w:rPr>
              <w:t>，</w:t>
            </w:r>
            <w:r>
              <w:rPr>
                <w:spacing w:val="-3"/>
                <w:lang w:eastAsia="zh-CN"/>
              </w:rPr>
              <w:t>项目</w:t>
            </w:r>
            <w:r>
              <w:rPr>
                <w:spacing w:val="-4"/>
                <w:lang w:eastAsia="zh-CN"/>
              </w:rPr>
              <w:t>建设为一条</w:t>
            </w:r>
            <w:r>
              <w:rPr>
                <w:rFonts w:hint="eastAsia" w:ascii="Times New Roman" w:hAnsi="Times New Roman" w:cs="Times New Roman"/>
                <w:spacing w:val="-4"/>
                <w:lang w:eastAsia="zh-CN"/>
              </w:rPr>
              <w:t>150</w:t>
            </w:r>
            <w:r>
              <w:rPr>
                <w:spacing w:val="-4"/>
                <w:lang w:eastAsia="zh-CN"/>
              </w:rPr>
              <w:t>万</w:t>
            </w:r>
            <w:r>
              <w:rPr>
                <w:rFonts w:hint="eastAsia"/>
                <w:lang w:eastAsia="zh-CN"/>
              </w:rPr>
              <w:t>t</w:t>
            </w:r>
            <w:r>
              <w:rPr>
                <w:rFonts w:ascii="Times New Roman" w:hAnsi="Times New Roman" w:eastAsia="Times New Roman" w:cs="Times New Roman"/>
                <w:spacing w:val="-3"/>
                <w:lang w:eastAsia="zh-CN"/>
              </w:rPr>
              <w:t>/a</w:t>
            </w:r>
            <w:r>
              <w:rPr>
                <w:rFonts w:hint="eastAsia" w:ascii="Times New Roman" w:hAnsi="Times New Roman" w:cs="Times New Roman"/>
                <w:spacing w:val="-3"/>
                <w:lang w:eastAsia="zh-CN"/>
              </w:rPr>
              <w:t>（100万m</w:t>
            </w:r>
            <w:r>
              <w:rPr>
                <w:rFonts w:hint="eastAsia" w:ascii="Times New Roman" w:hAnsi="Times New Roman" w:cs="Times New Roman"/>
                <w:spacing w:val="-3"/>
                <w:vertAlign w:val="superscript"/>
                <w:lang w:eastAsia="zh-CN"/>
              </w:rPr>
              <w:t>3</w:t>
            </w:r>
            <w:r>
              <w:rPr>
                <w:rFonts w:hint="eastAsia" w:ascii="Times New Roman" w:hAnsi="Times New Roman" w:cs="Times New Roman"/>
                <w:spacing w:val="-3"/>
                <w:lang w:eastAsia="zh-CN"/>
              </w:rPr>
              <w:t>/a）</w:t>
            </w:r>
            <w:r>
              <w:rPr>
                <w:spacing w:val="-4"/>
                <w:lang w:eastAsia="zh-CN"/>
              </w:rPr>
              <w:t>水</w:t>
            </w:r>
            <w:r>
              <w:rPr>
                <w:rFonts w:hint="eastAsia"/>
                <w:spacing w:val="-3"/>
                <w:lang w:eastAsia="zh-CN"/>
              </w:rPr>
              <w:t>洗沙</w:t>
            </w:r>
            <w:r>
              <w:rPr>
                <w:spacing w:val="-3"/>
                <w:lang w:eastAsia="zh-CN"/>
              </w:rPr>
              <w:t>生产线</w:t>
            </w:r>
            <w:r>
              <w:rPr>
                <w:rFonts w:hint="eastAsia"/>
                <w:spacing w:val="-3"/>
                <w:lang w:eastAsia="zh-CN"/>
              </w:rPr>
              <w:t>，</w:t>
            </w:r>
            <w:r>
              <w:rPr>
                <w:spacing w:val="-3"/>
                <w:lang w:eastAsia="zh-CN"/>
              </w:rPr>
              <w:t>年产</w:t>
            </w:r>
            <w:r>
              <w:rPr>
                <w:rFonts w:hint="eastAsia" w:ascii="Times New Roman" w:hAnsi="Times New Roman" w:cs="Times New Roman"/>
                <w:spacing w:val="-3"/>
                <w:lang w:eastAsia="zh-CN"/>
              </w:rPr>
              <w:t>154.56</w:t>
            </w:r>
            <w:r>
              <w:rPr>
                <w:spacing w:val="-3"/>
                <w:lang w:eastAsia="zh-CN"/>
              </w:rPr>
              <w:t>万</w:t>
            </w:r>
            <w:r>
              <w:rPr>
                <w:rFonts w:hint="eastAsia"/>
                <w:lang w:eastAsia="zh-CN"/>
              </w:rPr>
              <w:t>t</w:t>
            </w:r>
            <w:r>
              <w:rPr>
                <w:rFonts w:ascii="Times New Roman" w:hAnsi="Times New Roman" w:eastAsia="Times New Roman" w:cs="Times New Roman"/>
                <w:spacing w:val="-3"/>
                <w:lang w:eastAsia="zh-CN"/>
              </w:rPr>
              <w:t>/a</w:t>
            </w:r>
            <w:r>
              <w:rPr>
                <w:spacing w:val="-3"/>
                <w:lang w:eastAsia="zh-CN"/>
              </w:rPr>
              <w:t>水</w:t>
            </w:r>
            <w:r>
              <w:rPr>
                <w:rFonts w:hint="eastAsia"/>
                <w:spacing w:val="-3"/>
                <w:lang w:eastAsia="zh-CN"/>
              </w:rPr>
              <w:t>洗沙</w:t>
            </w:r>
            <w:r>
              <w:rPr>
                <w:spacing w:val="-3"/>
                <w:lang w:eastAsia="zh-CN"/>
              </w:rPr>
              <w:t>。</w:t>
            </w:r>
          </w:p>
          <w:p>
            <w:pPr>
              <w:pStyle w:val="64"/>
              <w:spacing w:line="360" w:lineRule="auto"/>
              <w:ind w:firstLine="468" w:firstLineChars="200"/>
              <w:rPr>
                <w:spacing w:val="-3"/>
                <w:lang w:eastAsia="zh-CN"/>
              </w:rPr>
            </w:pPr>
            <w:r>
              <w:rPr>
                <w:spacing w:val="-3"/>
                <w:lang w:eastAsia="zh-CN"/>
              </w:rPr>
              <w:t>根据</w:t>
            </w:r>
            <w:r>
              <w:rPr>
                <w:spacing w:val="-4"/>
                <w:lang w:eastAsia="zh-CN"/>
              </w:rPr>
              <w:t>业主提供资料，项目原料中含泥量</w:t>
            </w:r>
            <w:r>
              <w:rPr>
                <w:spacing w:val="9"/>
                <w:lang w:eastAsia="zh-CN"/>
              </w:rPr>
              <w:t>约</w:t>
            </w:r>
            <w:r>
              <w:rPr>
                <w:rFonts w:ascii="Times New Roman" w:hAnsi="Times New Roman" w:eastAsia="Times New Roman" w:cs="Times New Roman"/>
                <w:spacing w:val="9"/>
                <w:lang w:eastAsia="zh-CN"/>
              </w:rPr>
              <w:t>10%</w:t>
            </w:r>
            <w:r>
              <w:rPr>
                <w:spacing w:val="9"/>
                <w:lang w:eastAsia="zh-CN"/>
              </w:rPr>
              <w:t>，项目</w:t>
            </w:r>
            <w:r>
              <w:rPr>
                <w:rFonts w:hint="eastAsia"/>
                <w:spacing w:val="9"/>
                <w:lang w:eastAsia="zh-CN"/>
              </w:rPr>
              <w:t>给</w:t>
            </w:r>
            <w:r>
              <w:rPr>
                <w:spacing w:val="9"/>
                <w:lang w:eastAsia="zh-CN"/>
              </w:rPr>
              <w:t>料</w:t>
            </w:r>
            <w:r>
              <w:rPr>
                <w:rFonts w:hint="eastAsia"/>
                <w:spacing w:val="9"/>
                <w:lang w:eastAsia="zh-CN"/>
              </w:rPr>
              <w:t>－</w:t>
            </w:r>
            <w:r>
              <w:rPr>
                <w:spacing w:val="9"/>
                <w:lang w:eastAsia="zh-CN"/>
              </w:rPr>
              <w:t>破碎</w:t>
            </w:r>
            <w:r>
              <w:rPr>
                <w:rFonts w:hint="eastAsia"/>
                <w:spacing w:val="9"/>
                <w:lang w:eastAsia="zh-CN"/>
              </w:rPr>
              <w:t>－</w:t>
            </w:r>
            <w:r>
              <w:rPr>
                <w:spacing w:val="9"/>
                <w:lang w:eastAsia="zh-CN"/>
              </w:rPr>
              <w:t>皮带输送</w:t>
            </w:r>
            <w:r>
              <w:rPr>
                <w:rFonts w:hint="eastAsia"/>
                <w:spacing w:val="9"/>
                <w:lang w:eastAsia="zh-CN"/>
              </w:rPr>
              <w:t>－筛分－洗沙</w:t>
            </w:r>
            <w:r>
              <w:rPr>
                <w:spacing w:val="8"/>
                <w:lang w:eastAsia="zh-CN"/>
              </w:rPr>
              <w:t>工序整个生产过程中用水定额为</w:t>
            </w:r>
            <w:r>
              <w:rPr>
                <w:rFonts w:hint="eastAsia" w:ascii="Times New Roman" w:hAnsi="Times New Roman" w:cs="Times New Roman"/>
                <w:spacing w:val="-1"/>
                <w:lang w:eastAsia="zh-CN"/>
              </w:rPr>
              <w:t>0.6</w:t>
            </w:r>
            <w:r>
              <w:rPr>
                <w:rFonts w:ascii="Times New Roman" w:hAnsi="Times New Roman" w:eastAsia="Times New Roman" w:cs="Times New Roman"/>
                <w:spacing w:val="-1"/>
                <w:lang w:eastAsia="zh-CN"/>
              </w:rPr>
              <w:t>m</w:t>
            </w:r>
            <w:r>
              <w:rPr>
                <w:rFonts w:ascii="Times New Roman" w:hAnsi="Times New Roman" w:eastAsia="Times New Roman" w:cs="Times New Roman"/>
                <w:spacing w:val="-1"/>
                <w:position w:val="7"/>
                <w:sz w:val="15"/>
                <w:szCs w:val="15"/>
                <w:lang w:eastAsia="zh-CN"/>
              </w:rPr>
              <w:t>3</w:t>
            </w:r>
            <w:r>
              <w:rPr>
                <w:rFonts w:ascii="Times New Roman" w:hAnsi="Times New Roman" w:eastAsia="Times New Roman" w:cs="Times New Roman"/>
                <w:spacing w:val="-1"/>
                <w:lang w:eastAsia="zh-CN"/>
              </w:rPr>
              <w:t>/m</w:t>
            </w:r>
            <w:r>
              <w:rPr>
                <w:rFonts w:ascii="Times New Roman" w:hAnsi="Times New Roman" w:eastAsia="Times New Roman" w:cs="Times New Roman"/>
                <w:spacing w:val="-1"/>
                <w:position w:val="7"/>
                <w:sz w:val="15"/>
                <w:szCs w:val="15"/>
                <w:lang w:eastAsia="zh-CN"/>
              </w:rPr>
              <w:t>3</w:t>
            </w:r>
            <w:r>
              <w:rPr>
                <w:rFonts w:hint="eastAsia" w:ascii="Times New Roman" w:hAnsi="Times New Roman" w:cs="Times New Roman"/>
                <w:spacing w:val="-1"/>
                <w:position w:val="7"/>
                <w:sz w:val="15"/>
                <w:szCs w:val="15"/>
                <w:lang w:eastAsia="zh-CN"/>
              </w:rPr>
              <w:t>－</w:t>
            </w:r>
            <w:r>
              <w:rPr>
                <w:spacing w:val="-1"/>
                <w:lang w:eastAsia="zh-CN"/>
              </w:rPr>
              <w:t>原料（其中给料、破碎、筛</w:t>
            </w:r>
            <w:r>
              <w:rPr>
                <w:spacing w:val="-2"/>
                <w:lang w:eastAsia="zh-CN"/>
              </w:rPr>
              <w:t>分、</w:t>
            </w:r>
            <w:r>
              <w:rPr>
                <w:rFonts w:hint="eastAsia"/>
                <w:spacing w:val="-2"/>
                <w:lang w:eastAsia="zh-CN"/>
              </w:rPr>
              <w:t>皮带输送</w:t>
            </w:r>
            <w:r>
              <w:rPr>
                <w:spacing w:val="-2"/>
                <w:lang w:eastAsia="zh-CN"/>
              </w:rPr>
              <w:t>工序用水均为</w:t>
            </w:r>
            <w:r>
              <w:rPr>
                <w:rFonts w:ascii="Times New Roman" w:hAnsi="Times New Roman" w:eastAsia="Times New Roman" w:cs="Times New Roman"/>
                <w:spacing w:val="-2"/>
                <w:lang w:eastAsia="zh-CN"/>
              </w:rPr>
              <w:t>0.05m</w:t>
            </w:r>
            <w:r>
              <w:rPr>
                <w:rFonts w:ascii="Times New Roman" w:hAnsi="Times New Roman" w:eastAsia="Times New Roman" w:cs="Times New Roman"/>
                <w:spacing w:val="-2"/>
                <w:position w:val="7"/>
                <w:sz w:val="15"/>
                <w:szCs w:val="15"/>
                <w:lang w:eastAsia="zh-CN"/>
              </w:rPr>
              <w:t>3</w:t>
            </w:r>
            <w:r>
              <w:rPr>
                <w:rFonts w:ascii="Times New Roman" w:hAnsi="Times New Roman" w:eastAsia="Times New Roman" w:cs="Times New Roman"/>
                <w:spacing w:val="-2"/>
                <w:lang w:eastAsia="zh-CN"/>
              </w:rPr>
              <w:t>/m</w:t>
            </w:r>
            <w:r>
              <w:rPr>
                <w:rFonts w:ascii="Times New Roman" w:hAnsi="Times New Roman" w:eastAsia="Times New Roman" w:cs="Times New Roman"/>
                <w:spacing w:val="-2"/>
                <w:position w:val="7"/>
                <w:sz w:val="15"/>
                <w:szCs w:val="15"/>
                <w:lang w:eastAsia="zh-CN"/>
              </w:rPr>
              <w:t>3</w:t>
            </w:r>
            <w:r>
              <w:rPr>
                <w:rFonts w:hint="eastAsia" w:ascii="Times New Roman" w:hAnsi="Times New Roman" w:cs="Times New Roman"/>
                <w:spacing w:val="-2"/>
                <w:position w:val="7"/>
                <w:sz w:val="15"/>
                <w:szCs w:val="15"/>
                <w:lang w:eastAsia="zh-CN"/>
              </w:rPr>
              <w:t>－</w:t>
            </w:r>
            <w:r>
              <w:rPr>
                <w:spacing w:val="-2"/>
                <w:lang w:eastAsia="zh-CN"/>
              </w:rPr>
              <w:t>原料，</w:t>
            </w:r>
            <w:r>
              <w:rPr>
                <w:rFonts w:hint="eastAsia"/>
                <w:spacing w:val="-2"/>
                <w:lang w:eastAsia="zh-CN"/>
              </w:rPr>
              <w:t>洗沙</w:t>
            </w:r>
            <w:r>
              <w:rPr>
                <w:spacing w:val="-3"/>
                <w:lang w:eastAsia="zh-CN"/>
              </w:rPr>
              <w:t>工段用水为</w:t>
            </w:r>
            <w:r>
              <w:rPr>
                <w:rFonts w:hint="eastAsia" w:ascii="Times New Roman" w:hAnsi="Times New Roman" w:cs="Times New Roman"/>
                <w:spacing w:val="-3"/>
                <w:lang w:eastAsia="zh-CN"/>
              </w:rPr>
              <w:t>0.4</w:t>
            </w:r>
            <w:r>
              <w:rPr>
                <w:rFonts w:ascii="Times New Roman" w:hAnsi="Times New Roman" w:eastAsia="Times New Roman" w:cs="Times New Roman"/>
                <w:spacing w:val="-3"/>
                <w:lang w:eastAsia="zh-CN"/>
              </w:rPr>
              <w:t>m</w:t>
            </w:r>
            <w:r>
              <w:rPr>
                <w:rFonts w:ascii="Times New Roman" w:hAnsi="Times New Roman" w:eastAsia="Times New Roman" w:cs="Times New Roman"/>
                <w:spacing w:val="-3"/>
                <w:position w:val="7"/>
                <w:sz w:val="15"/>
                <w:szCs w:val="15"/>
                <w:lang w:eastAsia="zh-CN"/>
              </w:rPr>
              <w:t>3</w:t>
            </w:r>
            <w:r>
              <w:rPr>
                <w:rFonts w:ascii="Times New Roman" w:hAnsi="Times New Roman" w:eastAsia="Times New Roman" w:cs="Times New Roman"/>
                <w:spacing w:val="-3"/>
                <w:lang w:eastAsia="zh-CN"/>
              </w:rPr>
              <w:t>/m</w:t>
            </w:r>
            <w:r>
              <w:rPr>
                <w:rFonts w:ascii="Times New Roman" w:hAnsi="Times New Roman" w:eastAsia="Times New Roman" w:cs="Times New Roman"/>
                <w:spacing w:val="-3"/>
                <w:position w:val="7"/>
                <w:sz w:val="15"/>
                <w:szCs w:val="15"/>
                <w:lang w:eastAsia="zh-CN"/>
              </w:rPr>
              <w:t>3</w:t>
            </w:r>
            <w:r>
              <w:rPr>
                <w:rFonts w:hint="eastAsia" w:ascii="Times New Roman" w:hAnsi="Times New Roman" w:cs="Times New Roman"/>
                <w:spacing w:val="-3"/>
                <w:position w:val="7"/>
                <w:sz w:val="15"/>
                <w:szCs w:val="15"/>
                <w:lang w:eastAsia="zh-CN"/>
              </w:rPr>
              <w:t>－</w:t>
            </w:r>
            <w:r>
              <w:rPr>
                <w:spacing w:val="-3"/>
                <w:lang w:eastAsia="zh-CN"/>
              </w:rPr>
              <w:t>原料</w:t>
            </w:r>
            <w:r>
              <w:rPr>
                <w:spacing w:val="-10"/>
                <w:lang w:eastAsia="zh-CN"/>
              </w:rPr>
              <w:t>），</w:t>
            </w:r>
            <w:r>
              <w:rPr>
                <w:spacing w:val="-3"/>
                <w:lang w:eastAsia="zh-CN"/>
              </w:rPr>
              <w:t>则用</w:t>
            </w:r>
            <w:r>
              <w:rPr>
                <w:spacing w:val="-2"/>
                <w:lang w:eastAsia="zh-CN"/>
              </w:rPr>
              <w:t>水量为</w:t>
            </w:r>
            <w:r>
              <w:rPr>
                <w:rFonts w:hint="eastAsia" w:ascii="Times New Roman" w:hAnsi="Times New Roman" w:cs="Times New Roman"/>
                <w:spacing w:val="-2"/>
                <w:lang w:eastAsia="zh-CN"/>
              </w:rPr>
              <w:t>90</w:t>
            </w:r>
            <w:r>
              <w:rPr>
                <w:spacing w:val="-2"/>
                <w:lang w:eastAsia="zh-CN"/>
              </w:rPr>
              <w:t>万</w:t>
            </w:r>
            <w:r>
              <w:rPr>
                <w:rFonts w:ascii="Times New Roman" w:hAnsi="Times New Roman" w:eastAsia="Times New Roman" w:cs="Times New Roman"/>
                <w:spacing w:val="-2"/>
                <w:lang w:eastAsia="zh-CN"/>
              </w:rPr>
              <w:t>m</w:t>
            </w:r>
            <w:r>
              <w:rPr>
                <w:rFonts w:ascii="Times New Roman" w:hAnsi="Times New Roman" w:eastAsia="Times New Roman" w:cs="Times New Roman"/>
                <w:spacing w:val="-2"/>
                <w:position w:val="7"/>
                <w:sz w:val="15"/>
                <w:szCs w:val="15"/>
                <w:lang w:eastAsia="zh-CN"/>
              </w:rPr>
              <w:t>3</w:t>
            </w:r>
            <w:r>
              <w:rPr>
                <w:rFonts w:ascii="Times New Roman" w:hAnsi="Times New Roman" w:eastAsia="Times New Roman" w:cs="Times New Roman"/>
                <w:spacing w:val="-2"/>
                <w:lang w:eastAsia="zh-CN"/>
              </w:rPr>
              <w:t>/a</w:t>
            </w:r>
            <w:r>
              <w:rPr>
                <w:spacing w:val="-2"/>
                <w:lang w:eastAsia="zh-CN"/>
              </w:rPr>
              <w:t>、</w:t>
            </w:r>
            <w:r>
              <w:rPr>
                <w:rFonts w:hint="eastAsia"/>
                <w:spacing w:val="-2"/>
                <w:lang w:eastAsia="zh-CN"/>
              </w:rPr>
              <w:t>3000</w:t>
            </w:r>
            <w:r>
              <w:rPr>
                <w:rFonts w:ascii="Times New Roman" w:hAnsi="Times New Roman" w:eastAsia="Times New Roman" w:cs="Times New Roman"/>
                <w:spacing w:val="-2"/>
                <w:lang w:eastAsia="zh-CN"/>
              </w:rPr>
              <w:t>m</w:t>
            </w:r>
            <w:r>
              <w:rPr>
                <w:rFonts w:ascii="Times New Roman" w:hAnsi="Times New Roman" w:eastAsia="Times New Roman" w:cs="Times New Roman"/>
                <w:spacing w:val="-2"/>
                <w:position w:val="7"/>
                <w:sz w:val="15"/>
                <w:szCs w:val="15"/>
                <w:lang w:eastAsia="zh-CN"/>
              </w:rPr>
              <w:t>3</w:t>
            </w:r>
            <w:r>
              <w:rPr>
                <w:rFonts w:ascii="Times New Roman" w:hAnsi="Times New Roman" w:eastAsia="Times New Roman" w:cs="Times New Roman"/>
                <w:spacing w:val="-2"/>
                <w:lang w:eastAsia="zh-CN"/>
              </w:rPr>
              <w:t>/d</w:t>
            </w:r>
            <w:r>
              <w:rPr>
                <w:spacing w:val="-2"/>
                <w:lang w:eastAsia="zh-CN"/>
              </w:rPr>
              <w:t>（全年生产</w:t>
            </w:r>
            <w:r>
              <w:rPr>
                <w:rFonts w:ascii="Times New Roman" w:hAnsi="Times New Roman" w:eastAsia="Times New Roman" w:cs="Times New Roman"/>
                <w:spacing w:val="-2"/>
                <w:lang w:eastAsia="zh-CN"/>
              </w:rPr>
              <w:t>300d</w:t>
            </w:r>
            <w:r>
              <w:rPr>
                <w:spacing w:val="-3"/>
                <w:lang w:eastAsia="zh-CN"/>
              </w:rPr>
              <w:t>）。</w:t>
            </w:r>
          </w:p>
          <w:p>
            <w:pPr>
              <w:pStyle w:val="64"/>
              <w:spacing w:line="360" w:lineRule="auto"/>
              <w:ind w:firstLine="480" w:firstLineChars="200"/>
              <w:rPr>
                <w:lang w:eastAsia="zh-CN"/>
              </w:rPr>
            </w:pPr>
            <w:r>
              <w:rPr>
                <w:rFonts w:hint="eastAsia" w:ascii="Times New Roman" w:hAnsi="Times New Roman"/>
                <w:lang w:eastAsia="zh-CN"/>
              </w:rPr>
              <w:t>参照</w:t>
            </w:r>
            <w:r>
              <w:rPr>
                <w:rFonts w:ascii="Times New Roman" w:hAnsi="Times New Roman"/>
                <w:lang w:val="zh-CN" w:eastAsia="zh-CN"/>
              </w:rPr>
              <w:t>《第</w:t>
            </w:r>
            <w:r>
              <w:rPr>
                <w:rFonts w:hint="eastAsia" w:ascii="Times New Roman" w:hAnsi="Times New Roman"/>
                <w:lang w:eastAsia="zh-CN"/>
              </w:rPr>
              <w:t>二</w:t>
            </w:r>
            <w:r>
              <w:rPr>
                <w:rFonts w:ascii="Times New Roman" w:hAnsi="Times New Roman"/>
                <w:lang w:val="zh-CN" w:eastAsia="zh-CN"/>
              </w:rPr>
              <w:t>次全国污染源普查工业污染源产排污系数手册》</w:t>
            </w:r>
            <w:r>
              <w:rPr>
                <w:rFonts w:hint="eastAsia" w:ascii="Times New Roman" w:hAnsi="Times New Roman"/>
                <w:lang w:eastAsia="zh-CN"/>
              </w:rPr>
              <w:t>中“3039 其他建筑材料制造行业”</w:t>
            </w:r>
            <w:r>
              <w:rPr>
                <w:rFonts w:ascii="Times New Roman" w:hAnsi="Times New Roman" w:cs="Times New Roman"/>
                <w:kern w:val="0"/>
                <w:szCs w:val="20"/>
                <w:lang w:eastAsia="zh-CN"/>
              </w:rPr>
              <w:t>，本项目</w:t>
            </w:r>
            <w:r>
              <w:rPr>
                <w:rFonts w:hint="eastAsia" w:ascii="Times New Roman" w:hAnsi="Times New Roman" w:cs="Times New Roman"/>
                <w:kern w:val="0"/>
                <w:szCs w:val="20"/>
                <w:lang w:eastAsia="zh-CN"/>
              </w:rPr>
              <w:t>生产</w:t>
            </w:r>
            <w:r>
              <w:rPr>
                <w:rFonts w:ascii="Times New Roman" w:hAnsi="Times New Roman" w:cs="Times New Roman"/>
                <w:kern w:val="0"/>
                <w:szCs w:val="20"/>
                <w:lang w:eastAsia="zh-CN"/>
              </w:rPr>
              <w:t>过程产生的</w:t>
            </w:r>
            <w:r>
              <w:rPr>
                <w:rFonts w:hint="eastAsia" w:ascii="Times New Roman" w:hAnsi="Times New Roman" w:cs="Times New Roman"/>
                <w:kern w:val="0"/>
                <w:szCs w:val="20"/>
                <w:lang w:eastAsia="zh-CN"/>
              </w:rPr>
              <w:t>废水</w:t>
            </w:r>
            <w:r>
              <w:rPr>
                <w:rFonts w:ascii="Times New Roman" w:hAnsi="Times New Roman" w:cs="Times New Roman"/>
                <w:kern w:val="0"/>
                <w:szCs w:val="20"/>
                <w:lang w:eastAsia="zh-CN"/>
              </w:rPr>
              <w:t>系数为</w:t>
            </w:r>
            <w:r>
              <w:rPr>
                <w:rFonts w:hint="eastAsia" w:ascii="Times New Roman" w:hAnsi="Times New Roman" w:cs="Times New Roman"/>
                <w:kern w:val="0"/>
                <w:szCs w:val="20"/>
                <w:lang w:eastAsia="zh-CN"/>
              </w:rPr>
              <w:t>0.14m</w:t>
            </w:r>
            <w:r>
              <w:rPr>
                <w:rFonts w:hint="eastAsia" w:ascii="Times New Roman" w:hAnsi="Times New Roman" w:cs="Times New Roman"/>
                <w:kern w:val="0"/>
                <w:szCs w:val="20"/>
                <w:vertAlign w:val="superscript"/>
                <w:lang w:eastAsia="zh-CN"/>
              </w:rPr>
              <w:t>3</w:t>
            </w:r>
            <w:r>
              <w:rPr>
                <w:rFonts w:ascii="Times New Roman" w:hAnsi="Times New Roman" w:cs="Times New Roman"/>
                <w:kern w:val="0"/>
                <w:szCs w:val="20"/>
                <w:lang w:eastAsia="zh-CN"/>
              </w:rPr>
              <w:t>/t</w:t>
            </w:r>
            <w:r>
              <w:rPr>
                <w:rFonts w:hint="eastAsia" w:ascii="Times New Roman" w:hAnsi="Times New Roman" w:cs="Times New Roman"/>
                <w:kern w:val="0"/>
                <w:szCs w:val="20"/>
                <w:lang w:eastAsia="zh-CN"/>
              </w:rPr>
              <w:t>·产品</w:t>
            </w:r>
            <w:r>
              <w:rPr>
                <w:rFonts w:ascii="Times New Roman" w:hAnsi="Times New Roman" w:cs="Times New Roman"/>
                <w:kern w:val="0"/>
                <w:szCs w:val="20"/>
                <w:lang w:eastAsia="zh-CN"/>
              </w:rPr>
              <w:t>，</w:t>
            </w:r>
            <w:r>
              <w:rPr>
                <w:rFonts w:hint="eastAsia" w:ascii="Times New Roman" w:hAnsi="Times New Roman" w:cs="Times New Roman"/>
                <w:kern w:val="0"/>
                <w:szCs w:val="20"/>
                <w:lang w:eastAsia="zh-CN"/>
              </w:rPr>
              <w:t>本项目水洗沙产品为</w:t>
            </w:r>
            <w:r>
              <w:rPr>
                <w:rFonts w:hint="eastAsia" w:ascii="Times New Roman" w:hAnsi="Times New Roman" w:cs="Times New Roman"/>
                <w:spacing w:val="-3"/>
                <w:lang w:eastAsia="zh-CN"/>
              </w:rPr>
              <w:t>154.56</w:t>
            </w:r>
            <w:r>
              <w:rPr>
                <w:spacing w:val="-3"/>
                <w:lang w:eastAsia="zh-CN"/>
              </w:rPr>
              <w:t>万</w:t>
            </w:r>
            <w:r>
              <w:rPr>
                <w:rFonts w:hint="eastAsia"/>
                <w:lang w:eastAsia="zh-CN"/>
              </w:rPr>
              <w:t>t</w:t>
            </w:r>
            <w:r>
              <w:rPr>
                <w:rFonts w:ascii="Times New Roman" w:hAnsi="Times New Roman" w:eastAsia="Times New Roman" w:cs="Times New Roman"/>
                <w:spacing w:val="-3"/>
                <w:lang w:eastAsia="zh-CN"/>
              </w:rPr>
              <w:t>/a</w:t>
            </w:r>
            <w:r>
              <w:rPr>
                <w:rFonts w:hint="eastAsia"/>
                <w:lang w:eastAsia="zh-CN"/>
              </w:rPr>
              <w:t>，则废水产生量为216384</w:t>
            </w:r>
            <w:r>
              <w:rPr>
                <w:rFonts w:hint="eastAsia" w:ascii="Times New Roman" w:hAnsi="Times New Roman" w:cs="Times New Roman"/>
                <w:kern w:val="0"/>
                <w:szCs w:val="20"/>
                <w:lang w:eastAsia="zh-CN"/>
              </w:rPr>
              <w:t>m</w:t>
            </w:r>
            <w:r>
              <w:rPr>
                <w:rFonts w:hint="eastAsia" w:ascii="Times New Roman" w:hAnsi="Times New Roman" w:cs="Times New Roman"/>
                <w:kern w:val="0"/>
                <w:szCs w:val="20"/>
                <w:vertAlign w:val="superscript"/>
                <w:lang w:eastAsia="zh-CN"/>
              </w:rPr>
              <w:t>3</w:t>
            </w:r>
            <w:r>
              <w:rPr>
                <w:rFonts w:hint="eastAsia" w:ascii="Times New Roman" w:hAnsi="Times New Roman" w:cs="Times New Roman"/>
                <w:kern w:val="0"/>
                <w:szCs w:val="20"/>
                <w:lang w:eastAsia="zh-CN"/>
              </w:rPr>
              <w:t>/a，721.28m</w:t>
            </w:r>
            <w:r>
              <w:rPr>
                <w:rFonts w:hint="eastAsia" w:ascii="Times New Roman" w:hAnsi="Times New Roman" w:cs="Times New Roman"/>
                <w:kern w:val="0"/>
                <w:szCs w:val="20"/>
                <w:vertAlign w:val="superscript"/>
                <w:lang w:eastAsia="zh-CN"/>
              </w:rPr>
              <w:t>3</w:t>
            </w:r>
            <w:r>
              <w:rPr>
                <w:rFonts w:hint="eastAsia" w:ascii="Times New Roman" w:hAnsi="Times New Roman" w:cs="Times New Roman"/>
                <w:kern w:val="0"/>
                <w:szCs w:val="20"/>
                <w:lang w:eastAsia="zh-CN"/>
              </w:rPr>
              <w:t>/d，挥发及成品带走水量为2296m</w:t>
            </w:r>
            <w:r>
              <w:rPr>
                <w:rFonts w:hint="eastAsia" w:ascii="Times New Roman" w:hAnsi="Times New Roman" w:cs="Times New Roman"/>
                <w:kern w:val="0"/>
                <w:szCs w:val="20"/>
                <w:vertAlign w:val="superscript"/>
                <w:lang w:eastAsia="zh-CN"/>
              </w:rPr>
              <w:t>3</w:t>
            </w:r>
            <w:r>
              <w:rPr>
                <w:rFonts w:hint="eastAsia" w:ascii="Times New Roman" w:hAnsi="Times New Roman" w:cs="Times New Roman"/>
                <w:kern w:val="0"/>
                <w:szCs w:val="20"/>
                <w:lang w:eastAsia="zh-CN"/>
              </w:rPr>
              <w:t>/d。为避免湿法降尘作业地表径流污染北桥河，本次环评要求堆场四周设置集污沟，并与三级沉淀池相连，保障湿法降尘作业地表径流进入三级沉淀池处理。其中污泥堆场及成品堆场渗滤液经收集池收集后，同洗沙废水一同</w:t>
            </w:r>
            <w:r>
              <w:rPr>
                <w:spacing w:val="-3"/>
                <w:lang w:eastAsia="zh-CN"/>
              </w:rPr>
              <w:t>进入沉淀系统经沉淀后上清液通过水</w:t>
            </w:r>
            <w:r>
              <w:rPr>
                <w:spacing w:val="-4"/>
                <w:lang w:eastAsia="zh-CN"/>
              </w:rPr>
              <w:t>泵抽至清水池回用于生产</w:t>
            </w:r>
            <w:r>
              <w:rPr>
                <w:spacing w:val="-2"/>
                <w:lang w:eastAsia="zh-CN"/>
              </w:rPr>
              <w:t>。</w:t>
            </w:r>
          </w:p>
          <w:p>
            <w:pPr>
              <w:pStyle w:val="64"/>
              <w:spacing w:before="179" w:line="219" w:lineRule="auto"/>
              <w:ind w:left="583"/>
              <w:rPr>
                <w:b/>
                <w:bCs/>
                <w:lang w:eastAsia="zh-CN"/>
              </w:rPr>
            </w:pPr>
            <w:r>
              <w:rPr>
                <w:rFonts w:hint="eastAsia"/>
                <w:b/>
                <w:bCs/>
                <w:lang w:eastAsia="zh-CN"/>
              </w:rPr>
              <w:t>（3）</w:t>
            </w:r>
            <w:r>
              <w:rPr>
                <w:b/>
                <w:bCs/>
                <w:lang w:eastAsia="zh-CN"/>
              </w:rPr>
              <w:t>道路洒水降尘用水</w:t>
            </w:r>
          </w:p>
          <w:p>
            <w:pPr>
              <w:pStyle w:val="64"/>
              <w:spacing w:before="182" w:line="359" w:lineRule="auto"/>
              <w:ind w:left="118" w:right="41" w:firstLine="471"/>
              <w:rPr>
                <w:spacing w:val="-2"/>
                <w:lang w:eastAsia="zh-CN"/>
              </w:rPr>
            </w:pPr>
            <w:r>
              <w:rPr>
                <w:spacing w:val="-7"/>
                <w:lang w:eastAsia="zh-CN"/>
              </w:rPr>
              <w:t>厂区道路洒水面积约</w:t>
            </w:r>
            <w:r>
              <w:rPr>
                <w:rFonts w:hint="eastAsia" w:ascii="Times New Roman" w:hAnsi="Times New Roman" w:cs="Times New Roman"/>
                <w:spacing w:val="-7"/>
                <w:lang w:eastAsia="zh-CN"/>
              </w:rPr>
              <w:t>5</w:t>
            </w:r>
            <w:r>
              <w:rPr>
                <w:rFonts w:ascii="Times New Roman" w:hAnsi="Times New Roman" w:eastAsia="Times New Roman" w:cs="Times New Roman"/>
                <w:spacing w:val="-7"/>
                <w:lang w:eastAsia="zh-CN"/>
              </w:rPr>
              <w:t>00m</w:t>
            </w:r>
            <w:r>
              <w:rPr>
                <w:rFonts w:ascii="Times New Roman" w:hAnsi="Times New Roman" w:eastAsia="Times New Roman" w:cs="Times New Roman"/>
                <w:spacing w:val="-7"/>
                <w:position w:val="7"/>
                <w:sz w:val="15"/>
                <w:szCs w:val="15"/>
                <w:lang w:eastAsia="zh-CN"/>
              </w:rPr>
              <w:t>2</w:t>
            </w:r>
            <w:r>
              <w:rPr>
                <w:spacing w:val="-10"/>
                <w:lang w:eastAsia="zh-CN"/>
              </w:rPr>
              <w:t>，根据《云南省地方标准用水定额》</w:t>
            </w:r>
            <w:r>
              <w:rPr>
                <w:spacing w:val="-2"/>
                <w:lang w:eastAsia="zh-CN"/>
              </w:rPr>
              <w:t>（</w:t>
            </w:r>
            <w:r>
              <w:rPr>
                <w:rFonts w:ascii="Times New Roman" w:hAnsi="Times New Roman" w:eastAsia="Times New Roman" w:cs="Times New Roman"/>
                <w:spacing w:val="-2"/>
                <w:lang w:eastAsia="zh-CN"/>
              </w:rPr>
              <w:t>DB53/T168-2019</w:t>
            </w:r>
            <w:r>
              <w:rPr>
                <w:spacing w:val="7"/>
                <w:lang w:eastAsia="zh-CN"/>
              </w:rPr>
              <w:t>），</w:t>
            </w:r>
            <w:r>
              <w:rPr>
                <w:spacing w:val="-2"/>
                <w:lang w:eastAsia="zh-CN"/>
              </w:rPr>
              <w:t>道路、空地洒水用水</w:t>
            </w:r>
            <w:r>
              <w:rPr>
                <w:spacing w:val="-3"/>
                <w:lang w:eastAsia="zh-CN"/>
              </w:rPr>
              <w:t>量为</w:t>
            </w:r>
            <w:r>
              <w:rPr>
                <w:rFonts w:ascii="Times New Roman" w:hAnsi="Times New Roman" w:eastAsia="Times New Roman" w:cs="Times New Roman"/>
                <w:spacing w:val="-3"/>
                <w:lang w:eastAsia="zh-CN"/>
              </w:rPr>
              <w:t>2L/</w:t>
            </w:r>
            <w:r>
              <w:rPr>
                <w:spacing w:val="-3"/>
                <w:lang w:eastAsia="zh-CN"/>
              </w:rPr>
              <w:t>（</w:t>
            </w:r>
            <w:r>
              <w:rPr>
                <w:rFonts w:ascii="Times New Roman" w:hAnsi="Times New Roman" w:eastAsia="Times New Roman" w:cs="Times New Roman"/>
                <w:spacing w:val="-3"/>
                <w:lang w:eastAsia="zh-CN"/>
              </w:rPr>
              <w:t>m</w:t>
            </w:r>
            <w:r>
              <w:rPr>
                <w:rFonts w:ascii="Times New Roman" w:hAnsi="Times New Roman" w:eastAsia="Times New Roman" w:cs="Times New Roman"/>
                <w:spacing w:val="-3"/>
                <w:position w:val="8"/>
                <w:sz w:val="15"/>
                <w:szCs w:val="15"/>
                <w:lang w:eastAsia="zh-CN"/>
              </w:rPr>
              <w:t>2</w:t>
            </w:r>
            <w:r>
              <w:rPr>
                <w:spacing w:val="-3"/>
                <w:lang w:eastAsia="zh-CN"/>
              </w:rPr>
              <w:t>·次</w:t>
            </w:r>
            <w:r>
              <w:rPr>
                <w:spacing w:val="7"/>
                <w:lang w:eastAsia="zh-CN"/>
              </w:rPr>
              <w:t>），</w:t>
            </w:r>
            <w:r>
              <w:rPr>
                <w:spacing w:val="-3"/>
                <w:lang w:eastAsia="zh-CN"/>
              </w:rPr>
              <w:t>晴天按</w:t>
            </w:r>
            <w:r>
              <w:rPr>
                <w:rFonts w:hint="eastAsia" w:ascii="Times New Roman" w:hAnsi="Times New Roman" w:cs="Times New Roman"/>
                <w:spacing w:val="-3"/>
                <w:lang w:eastAsia="zh-CN"/>
              </w:rPr>
              <w:t>208</w:t>
            </w:r>
            <w:r>
              <w:rPr>
                <w:spacing w:val="-3"/>
                <w:lang w:eastAsia="zh-CN"/>
              </w:rPr>
              <w:t>计，</w:t>
            </w:r>
            <w:r>
              <w:rPr>
                <w:spacing w:val="-5"/>
                <w:lang w:eastAsia="zh-CN"/>
              </w:rPr>
              <w:t>晴天每天洒水</w:t>
            </w:r>
            <w:r>
              <w:rPr>
                <w:rFonts w:ascii="Times New Roman" w:hAnsi="Times New Roman" w:eastAsia="Times New Roman" w:cs="Times New Roman"/>
                <w:spacing w:val="-5"/>
                <w:lang w:eastAsia="zh-CN"/>
              </w:rPr>
              <w:t>2</w:t>
            </w:r>
            <w:r>
              <w:rPr>
                <w:spacing w:val="-5"/>
                <w:lang w:eastAsia="zh-CN"/>
              </w:rPr>
              <w:t>次，则道路洒水用水量为</w:t>
            </w:r>
            <w:r>
              <w:rPr>
                <w:rFonts w:hint="eastAsia" w:ascii="Times New Roman" w:hAnsi="Times New Roman" w:cs="Times New Roman"/>
                <w:spacing w:val="-5"/>
                <w:lang w:eastAsia="zh-CN"/>
              </w:rPr>
              <w:t>416</w:t>
            </w:r>
            <w:r>
              <w:rPr>
                <w:rFonts w:ascii="Times New Roman" w:hAnsi="Times New Roman" w:eastAsia="Times New Roman" w:cs="Times New Roman"/>
                <w:spacing w:val="-5"/>
                <w:lang w:eastAsia="zh-CN"/>
              </w:rPr>
              <w:t>m</w:t>
            </w:r>
            <w:r>
              <w:rPr>
                <w:rFonts w:ascii="Times New Roman" w:hAnsi="Times New Roman" w:eastAsia="Times New Roman" w:cs="Times New Roman"/>
                <w:spacing w:val="-5"/>
                <w:position w:val="8"/>
                <w:sz w:val="15"/>
                <w:szCs w:val="15"/>
                <w:lang w:eastAsia="zh-CN"/>
              </w:rPr>
              <w:t>3</w:t>
            </w:r>
            <w:r>
              <w:rPr>
                <w:rFonts w:ascii="Times New Roman" w:hAnsi="Times New Roman" w:eastAsia="Times New Roman" w:cs="Times New Roman"/>
                <w:spacing w:val="-5"/>
                <w:lang w:eastAsia="zh-CN"/>
              </w:rPr>
              <w:t>/a</w:t>
            </w:r>
            <w:r>
              <w:rPr>
                <w:spacing w:val="-5"/>
                <w:lang w:eastAsia="zh-CN"/>
              </w:rPr>
              <w:t>（</w:t>
            </w:r>
            <w:r>
              <w:rPr>
                <w:rFonts w:hint="eastAsia" w:ascii="Times New Roman" w:hAnsi="Times New Roman" w:cs="Times New Roman"/>
                <w:spacing w:val="-5"/>
                <w:lang w:eastAsia="zh-CN"/>
              </w:rPr>
              <w:t>2</w:t>
            </w:r>
            <w:r>
              <w:rPr>
                <w:rFonts w:ascii="Times New Roman" w:hAnsi="Times New Roman" w:eastAsia="Times New Roman" w:cs="Times New Roman"/>
                <w:spacing w:val="-5"/>
                <w:lang w:eastAsia="zh-CN"/>
              </w:rPr>
              <w:t>m</w:t>
            </w:r>
            <w:r>
              <w:rPr>
                <w:rFonts w:ascii="Times New Roman" w:hAnsi="Times New Roman" w:eastAsia="Times New Roman" w:cs="Times New Roman"/>
                <w:spacing w:val="-5"/>
                <w:position w:val="8"/>
                <w:sz w:val="15"/>
                <w:szCs w:val="15"/>
                <w:lang w:eastAsia="zh-CN"/>
              </w:rPr>
              <w:t>3</w:t>
            </w:r>
            <w:r>
              <w:rPr>
                <w:rFonts w:ascii="Times New Roman" w:hAnsi="Times New Roman" w:eastAsia="Times New Roman" w:cs="Times New Roman"/>
                <w:spacing w:val="-5"/>
                <w:lang w:eastAsia="zh-CN"/>
              </w:rPr>
              <w:t>/d</w:t>
            </w:r>
            <w:r>
              <w:rPr>
                <w:spacing w:val="-42"/>
                <w:lang w:eastAsia="zh-CN"/>
              </w:rPr>
              <w:t>），</w:t>
            </w:r>
            <w:r>
              <w:rPr>
                <w:spacing w:val="-5"/>
                <w:lang w:eastAsia="zh-CN"/>
              </w:rPr>
              <w:t>道路洒水自然蒸发，</w:t>
            </w:r>
            <w:r>
              <w:rPr>
                <w:spacing w:val="-2"/>
                <w:lang w:eastAsia="zh-CN"/>
              </w:rPr>
              <w:t>无废水产生。</w:t>
            </w:r>
          </w:p>
          <w:p>
            <w:pPr>
              <w:pStyle w:val="64"/>
              <w:spacing w:before="183" w:line="219" w:lineRule="auto"/>
              <w:ind w:left="524"/>
              <w:rPr>
                <w:b/>
                <w:bCs/>
                <w:lang w:eastAsia="zh-CN"/>
              </w:rPr>
            </w:pPr>
            <w:r>
              <w:rPr>
                <w:rFonts w:hint="eastAsia" w:ascii="Times New Roman" w:hAnsi="Times New Roman" w:cs="Times New Roman"/>
                <w:b/>
                <w:bCs/>
                <w:spacing w:val="-1"/>
                <w:lang w:eastAsia="zh-CN"/>
              </w:rPr>
              <w:t>（4）</w:t>
            </w:r>
            <w:r>
              <w:rPr>
                <w:b/>
                <w:bCs/>
                <w:spacing w:val="-1"/>
                <w:lang w:eastAsia="zh-CN"/>
              </w:rPr>
              <w:t>车辆清洗</w:t>
            </w:r>
            <w:r>
              <w:rPr>
                <w:rFonts w:hint="eastAsia"/>
                <w:b/>
                <w:bCs/>
                <w:spacing w:val="-1"/>
                <w:lang w:eastAsia="zh-CN"/>
              </w:rPr>
              <w:t>废</w:t>
            </w:r>
            <w:r>
              <w:rPr>
                <w:b/>
                <w:bCs/>
                <w:spacing w:val="-1"/>
                <w:lang w:eastAsia="zh-CN"/>
              </w:rPr>
              <w:t>水</w:t>
            </w:r>
          </w:p>
          <w:p>
            <w:pPr>
              <w:pStyle w:val="64"/>
              <w:spacing w:before="146" w:line="359" w:lineRule="auto"/>
              <w:ind w:left="108" w:right="101" w:firstLine="480"/>
              <w:rPr>
                <w:spacing w:val="-2"/>
                <w:lang w:eastAsia="zh-CN"/>
              </w:rPr>
            </w:pPr>
            <w:r>
              <w:rPr>
                <w:lang w:eastAsia="zh-CN"/>
              </w:rPr>
              <w:t>参考《云南省地方标准用水定额》（</w:t>
            </w:r>
            <w:r>
              <w:rPr>
                <w:rFonts w:ascii="Times New Roman" w:hAnsi="Times New Roman" w:eastAsia="Times New Roman" w:cs="Times New Roman"/>
                <w:lang w:eastAsia="zh-CN"/>
              </w:rPr>
              <w:t>DB53/T168-201</w:t>
            </w:r>
            <w:r>
              <w:rPr>
                <w:rFonts w:ascii="Times New Roman" w:hAnsi="Times New Roman" w:eastAsia="Times New Roman" w:cs="Times New Roman"/>
                <w:spacing w:val="-1"/>
                <w:lang w:eastAsia="zh-CN"/>
              </w:rPr>
              <w:t>9</w:t>
            </w:r>
            <w:r>
              <w:rPr>
                <w:spacing w:val="7"/>
                <w:lang w:eastAsia="zh-CN"/>
              </w:rPr>
              <w:t>），</w:t>
            </w:r>
            <w:r>
              <w:rPr>
                <w:spacing w:val="-1"/>
                <w:lang w:eastAsia="zh-CN"/>
              </w:rPr>
              <w:t>建设完毕车辆</w:t>
            </w:r>
            <w:r>
              <w:rPr>
                <w:spacing w:val="1"/>
                <w:lang w:eastAsia="zh-CN"/>
              </w:rPr>
              <w:t>冲洗用水量（循环）按</w:t>
            </w:r>
            <w:r>
              <w:rPr>
                <w:rFonts w:ascii="Times New Roman" w:hAnsi="Times New Roman" w:eastAsia="Times New Roman" w:cs="Times New Roman"/>
                <w:spacing w:val="1"/>
                <w:lang w:eastAsia="zh-CN"/>
              </w:rPr>
              <w:t>0.04m</w:t>
            </w:r>
            <w:r>
              <w:rPr>
                <w:rFonts w:ascii="Times New Roman" w:hAnsi="Times New Roman" w:eastAsia="Times New Roman" w:cs="Times New Roman"/>
                <w:spacing w:val="1"/>
                <w:position w:val="8"/>
                <w:sz w:val="15"/>
                <w:szCs w:val="15"/>
                <w:lang w:eastAsia="zh-CN"/>
              </w:rPr>
              <w:t>3</w:t>
            </w:r>
            <w:r>
              <w:rPr>
                <w:rFonts w:ascii="Times New Roman" w:hAnsi="Times New Roman" w:eastAsia="Times New Roman" w:cs="Times New Roman"/>
                <w:spacing w:val="1"/>
                <w:lang w:eastAsia="zh-CN"/>
              </w:rPr>
              <w:t>/</w:t>
            </w:r>
            <w:r>
              <w:rPr>
                <w:spacing w:val="1"/>
                <w:lang w:eastAsia="zh-CN"/>
              </w:rPr>
              <w:t>（车</w:t>
            </w:r>
            <w:r>
              <w:rPr>
                <w:rFonts w:ascii="Times New Roman" w:hAnsi="Times New Roman" w:eastAsia="Times New Roman" w:cs="Times New Roman"/>
                <w:spacing w:val="1"/>
                <w:lang w:eastAsia="zh-CN"/>
              </w:rPr>
              <w:t>•</w:t>
            </w:r>
            <w:r>
              <w:rPr>
                <w:spacing w:val="1"/>
                <w:lang w:eastAsia="zh-CN"/>
              </w:rPr>
              <w:t>次）计，每天平均按清洗</w:t>
            </w:r>
            <w:r>
              <w:rPr>
                <w:rFonts w:hint="eastAsia" w:ascii="Times New Roman" w:hAnsi="Times New Roman" w:cs="Times New Roman"/>
                <w:spacing w:val="1"/>
                <w:lang w:eastAsia="zh-CN"/>
              </w:rPr>
              <w:t>200</w:t>
            </w:r>
            <w:r>
              <w:rPr>
                <w:spacing w:val="1"/>
                <w:lang w:eastAsia="zh-CN"/>
              </w:rPr>
              <w:t>次计算</w:t>
            </w:r>
            <w:r>
              <w:rPr>
                <w:spacing w:val="-6"/>
                <w:lang w:eastAsia="zh-CN"/>
              </w:rPr>
              <w:t>按</w:t>
            </w:r>
            <w:r>
              <w:rPr>
                <w:rFonts w:hint="eastAsia" w:ascii="Times New Roman" w:hAnsi="Times New Roman" w:cs="Times New Roman"/>
                <w:spacing w:val="-6"/>
                <w:lang w:eastAsia="zh-CN"/>
              </w:rPr>
              <w:t>300</w:t>
            </w:r>
            <w:r>
              <w:rPr>
                <w:spacing w:val="-6"/>
                <w:lang w:eastAsia="zh-CN"/>
              </w:rPr>
              <w:t>天计算则车辆冲洗用水量为</w:t>
            </w:r>
            <w:r>
              <w:rPr>
                <w:rFonts w:hint="eastAsia" w:ascii="Times New Roman" w:hAnsi="Times New Roman" w:cs="Times New Roman"/>
                <w:spacing w:val="-6"/>
                <w:lang w:eastAsia="zh-CN"/>
              </w:rPr>
              <w:t>240</w:t>
            </w:r>
            <w:r>
              <w:rPr>
                <w:rFonts w:ascii="Times New Roman" w:hAnsi="Times New Roman" w:eastAsia="Times New Roman" w:cs="Times New Roman"/>
                <w:spacing w:val="-6"/>
                <w:lang w:eastAsia="zh-CN"/>
              </w:rPr>
              <w:t>m</w:t>
            </w:r>
            <w:r>
              <w:rPr>
                <w:rFonts w:ascii="Times New Roman" w:hAnsi="Times New Roman" w:eastAsia="Times New Roman" w:cs="Times New Roman"/>
                <w:spacing w:val="-6"/>
                <w:position w:val="7"/>
                <w:sz w:val="15"/>
                <w:szCs w:val="15"/>
                <w:lang w:eastAsia="zh-CN"/>
              </w:rPr>
              <w:t>3</w:t>
            </w:r>
            <w:r>
              <w:rPr>
                <w:rFonts w:ascii="Times New Roman" w:hAnsi="Times New Roman" w:eastAsia="Times New Roman" w:cs="Times New Roman"/>
                <w:spacing w:val="-6"/>
                <w:lang w:eastAsia="zh-CN"/>
              </w:rPr>
              <w:t>/a</w:t>
            </w:r>
            <w:r>
              <w:rPr>
                <w:spacing w:val="-6"/>
                <w:lang w:eastAsia="zh-CN"/>
              </w:rPr>
              <w:t>，平均</w:t>
            </w:r>
            <w:r>
              <w:rPr>
                <w:rFonts w:hint="eastAsia"/>
                <w:spacing w:val="-6"/>
                <w:lang w:eastAsia="zh-CN"/>
              </w:rPr>
              <w:t>8</w:t>
            </w:r>
            <w:r>
              <w:rPr>
                <w:rFonts w:ascii="Times New Roman" w:hAnsi="Times New Roman" w:eastAsia="Times New Roman" w:cs="Times New Roman"/>
                <w:spacing w:val="-6"/>
                <w:lang w:eastAsia="zh-CN"/>
              </w:rPr>
              <w:t>m</w:t>
            </w:r>
            <w:r>
              <w:rPr>
                <w:rFonts w:ascii="Times New Roman" w:hAnsi="Times New Roman" w:eastAsia="Times New Roman" w:cs="Times New Roman"/>
                <w:spacing w:val="-6"/>
                <w:position w:val="7"/>
                <w:sz w:val="15"/>
                <w:szCs w:val="15"/>
                <w:lang w:eastAsia="zh-CN"/>
              </w:rPr>
              <w:t>3</w:t>
            </w:r>
            <w:r>
              <w:rPr>
                <w:rFonts w:ascii="Times New Roman" w:hAnsi="Times New Roman" w:eastAsia="Times New Roman" w:cs="Times New Roman"/>
                <w:spacing w:val="-6"/>
                <w:lang w:eastAsia="zh-CN"/>
              </w:rPr>
              <w:t>/d</w:t>
            </w:r>
            <w:r>
              <w:rPr>
                <w:spacing w:val="-6"/>
                <w:lang w:eastAsia="zh-CN"/>
              </w:rPr>
              <w:t>，废水产生量</w:t>
            </w:r>
            <w:r>
              <w:rPr>
                <w:rFonts w:hint="eastAsia" w:ascii="Times New Roman" w:hAnsi="Times New Roman" w:cs="Times New Roman"/>
                <w:spacing w:val="-6"/>
                <w:lang w:eastAsia="zh-CN"/>
              </w:rPr>
              <w:t>6.4</w:t>
            </w:r>
            <w:r>
              <w:rPr>
                <w:rFonts w:ascii="Times New Roman" w:hAnsi="Times New Roman" w:eastAsia="Times New Roman" w:cs="Times New Roman"/>
                <w:spacing w:val="-6"/>
                <w:lang w:eastAsia="zh-CN"/>
              </w:rPr>
              <w:t>m</w:t>
            </w:r>
            <w:r>
              <w:rPr>
                <w:rFonts w:ascii="Times New Roman" w:hAnsi="Times New Roman" w:eastAsia="Times New Roman" w:cs="Times New Roman"/>
                <w:spacing w:val="-6"/>
                <w:position w:val="7"/>
                <w:sz w:val="15"/>
                <w:szCs w:val="15"/>
                <w:lang w:eastAsia="zh-CN"/>
              </w:rPr>
              <w:t>3</w:t>
            </w:r>
            <w:r>
              <w:rPr>
                <w:rFonts w:ascii="Times New Roman" w:hAnsi="Times New Roman" w:eastAsia="Times New Roman" w:cs="Times New Roman"/>
                <w:spacing w:val="-6"/>
                <w:lang w:eastAsia="zh-CN"/>
              </w:rPr>
              <w:t>/d</w:t>
            </w:r>
            <w:r>
              <w:rPr>
                <w:rFonts w:hint="eastAsia" w:ascii="Times New Roman" w:hAnsi="Times New Roman" w:cs="Times New Roman"/>
                <w:spacing w:val="-6"/>
                <w:lang w:eastAsia="zh-CN"/>
              </w:rPr>
              <w:t>，</w:t>
            </w:r>
            <w:r>
              <w:rPr>
                <w:spacing w:val="-1"/>
                <w:lang w:eastAsia="zh-CN"/>
              </w:rPr>
              <w:t>全部进入洗车废水沉淀池沉淀后回用于</w:t>
            </w:r>
            <w:r>
              <w:rPr>
                <w:rFonts w:hint="eastAsia"/>
                <w:spacing w:val="-1"/>
                <w:lang w:eastAsia="zh-CN"/>
              </w:rPr>
              <w:t>洒水降尘</w:t>
            </w:r>
            <w:r>
              <w:rPr>
                <w:spacing w:val="-1"/>
                <w:lang w:eastAsia="zh-CN"/>
              </w:rPr>
              <w:t>。</w:t>
            </w:r>
          </w:p>
          <w:p>
            <w:pPr>
              <w:pStyle w:val="36"/>
              <w:snapToGrid w:val="0"/>
              <w:spacing w:line="360" w:lineRule="auto"/>
              <w:ind w:firstLine="482" w:firstLineChars="200"/>
              <w:jc w:val="both"/>
              <w:rPr>
                <w:rFonts w:ascii="Times New Roman" w:cs="Times New Roman"/>
                <w:color w:val="auto"/>
              </w:rPr>
            </w:pPr>
            <w:r>
              <w:rPr>
                <w:rFonts w:ascii="Times New Roman" w:cs="Times New Roman"/>
                <w:b/>
                <w:bCs/>
                <w:color w:val="auto"/>
              </w:rPr>
              <w:t>（</w:t>
            </w:r>
            <w:r>
              <w:rPr>
                <w:rFonts w:hint="eastAsia" w:ascii="Times New Roman" w:cs="Times New Roman"/>
                <w:b/>
                <w:bCs/>
                <w:color w:val="auto"/>
              </w:rPr>
              <w:t>5</w:t>
            </w:r>
            <w:r>
              <w:rPr>
                <w:rFonts w:ascii="Times New Roman" w:cs="Times New Roman"/>
                <w:b/>
                <w:bCs/>
                <w:color w:val="auto"/>
              </w:rPr>
              <w:t>）绿化用水</w:t>
            </w:r>
          </w:p>
          <w:p>
            <w:pPr>
              <w:pStyle w:val="36"/>
              <w:snapToGrid w:val="0"/>
              <w:spacing w:line="360" w:lineRule="auto"/>
              <w:ind w:firstLine="464" w:firstLineChars="200"/>
              <w:jc w:val="both"/>
              <w:rPr>
                <w:rFonts w:ascii="Times New Roman" w:cs="Times New Roman"/>
                <w:color w:val="auto"/>
                <w:spacing w:val="-4"/>
              </w:rPr>
            </w:pPr>
            <w:r>
              <w:rPr>
                <w:rFonts w:ascii="Times New Roman" w:cs="Times New Roman"/>
                <w:color w:val="auto"/>
                <w:spacing w:val="-4"/>
              </w:rPr>
              <w:t>项目内绿化面积约</w:t>
            </w:r>
            <w:r>
              <w:rPr>
                <w:rFonts w:hint="eastAsia" w:ascii="Times New Roman" w:cs="Times New Roman"/>
                <w:color w:val="auto"/>
                <w:spacing w:val="-4"/>
              </w:rPr>
              <w:t>20</w:t>
            </w:r>
            <w:r>
              <w:rPr>
                <w:rFonts w:ascii="Times New Roman" w:cs="Times New Roman"/>
                <w:color w:val="auto"/>
                <w:spacing w:val="-4"/>
              </w:rPr>
              <w:t>0m</w:t>
            </w:r>
            <w:r>
              <w:rPr>
                <w:rFonts w:ascii="Times New Roman" w:cs="Times New Roman"/>
                <w:color w:val="auto"/>
                <w:spacing w:val="-4"/>
                <w:vertAlign w:val="superscript"/>
              </w:rPr>
              <w:t>2</w:t>
            </w:r>
            <w:r>
              <w:rPr>
                <w:rFonts w:ascii="Times New Roman" w:cs="Times New Roman"/>
                <w:color w:val="auto"/>
                <w:spacing w:val="-4"/>
              </w:rPr>
              <w:t>，按（DB53/T168-2019）《云南省地方标准·用水定额》规定的用水定额3.0L/m</w:t>
            </w:r>
            <w:r>
              <w:rPr>
                <w:rFonts w:ascii="Times New Roman" w:cs="Times New Roman"/>
                <w:color w:val="auto"/>
                <w:spacing w:val="-4"/>
                <w:vertAlign w:val="superscript"/>
              </w:rPr>
              <w:t>2</w:t>
            </w:r>
            <w:r>
              <w:rPr>
                <w:rFonts w:ascii="Times New Roman" w:cs="Times New Roman"/>
                <w:color w:val="auto"/>
                <w:spacing w:val="-4"/>
              </w:rPr>
              <w:t>·次计算，查阅爱华镇气象资料可知，爱华镇旱季为208天，则项目绿化用水量为</w:t>
            </w:r>
            <w:r>
              <w:rPr>
                <w:rFonts w:hint="eastAsia" w:ascii="Times New Roman" w:cs="Times New Roman"/>
                <w:color w:val="auto"/>
                <w:spacing w:val="-4"/>
              </w:rPr>
              <w:t>0.6</w:t>
            </w:r>
            <w:r>
              <w:rPr>
                <w:rFonts w:ascii="Times New Roman" w:cs="Times New Roman"/>
                <w:color w:val="auto"/>
                <w:spacing w:val="-4"/>
              </w:rPr>
              <w:t>m</w:t>
            </w:r>
            <w:r>
              <w:rPr>
                <w:rFonts w:ascii="Times New Roman" w:cs="Times New Roman"/>
                <w:color w:val="auto"/>
                <w:spacing w:val="-4"/>
                <w:vertAlign w:val="superscript"/>
              </w:rPr>
              <w:t>3</w:t>
            </w:r>
            <w:r>
              <w:rPr>
                <w:rFonts w:ascii="Times New Roman" w:cs="Times New Roman"/>
                <w:color w:val="auto"/>
                <w:spacing w:val="-4"/>
              </w:rPr>
              <w:t>/d，</w:t>
            </w:r>
            <w:r>
              <w:rPr>
                <w:rFonts w:hint="eastAsia" w:ascii="Times New Roman" w:cs="Times New Roman"/>
                <w:color w:val="auto"/>
                <w:spacing w:val="-4"/>
              </w:rPr>
              <w:t>124.8</w:t>
            </w:r>
            <w:r>
              <w:rPr>
                <w:rFonts w:ascii="Times New Roman" w:cs="Times New Roman"/>
                <w:color w:val="auto"/>
                <w:spacing w:val="-4"/>
              </w:rPr>
              <w:t>m</w:t>
            </w:r>
            <w:r>
              <w:rPr>
                <w:rFonts w:ascii="Times New Roman" w:cs="Times New Roman"/>
                <w:color w:val="auto"/>
                <w:spacing w:val="-4"/>
                <w:vertAlign w:val="superscript"/>
              </w:rPr>
              <w:t>3</w:t>
            </w:r>
            <w:r>
              <w:rPr>
                <w:rFonts w:ascii="Times New Roman" w:cs="Times New Roman"/>
                <w:color w:val="auto"/>
                <w:spacing w:val="-4"/>
              </w:rPr>
              <w:t>/a。</w:t>
            </w:r>
          </w:p>
          <w:p>
            <w:pPr>
              <w:pStyle w:val="64"/>
              <w:spacing w:line="360" w:lineRule="auto"/>
              <w:ind w:firstLine="478" w:firstLineChars="200"/>
              <w:rPr>
                <w:b/>
                <w:bCs/>
                <w:lang w:eastAsia="zh-CN"/>
              </w:rPr>
            </w:pPr>
            <w:r>
              <w:rPr>
                <w:rFonts w:hint="eastAsia" w:ascii="Times New Roman" w:hAnsi="Times New Roman" w:cs="Times New Roman"/>
                <w:b/>
                <w:bCs/>
                <w:spacing w:val="-1"/>
                <w:lang w:eastAsia="zh-CN"/>
              </w:rPr>
              <w:t>（6）</w:t>
            </w:r>
            <w:r>
              <w:rPr>
                <w:b/>
                <w:bCs/>
                <w:spacing w:val="-1"/>
                <w:lang w:eastAsia="zh-CN"/>
              </w:rPr>
              <w:t>初期雨水</w:t>
            </w:r>
          </w:p>
          <w:p>
            <w:pPr>
              <w:pStyle w:val="64"/>
              <w:spacing w:line="360" w:lineRule="auto"/>
              <w:ind w:firstLine="464" w:firstLineChars="200"/>
              <w:rPr>
                <w:rFonts w:ascii="Times New Roman" w:hAnsi="Times New Roman" w:cs="Times New Roman"/>
                <w:spacing w:val="-4"/>
                <w:lang w:eastAsia="zh-CN"/>
              </w:rPr>
            </w:pPr>
            <w:r>
              <w:rPr>
                <w:rFonts w:ascii="Times New Roman" w:hAnsi="Times New Roman" w:cs="Times New Roman"/>
                <w:spacing w:val="-4"/>
                <w:lang w:eastAsia="zh-CN"/>
              </w:rPr>
              <w:t>项目实行雨污分流制，在厂内设置集排水沟，收集厂区内的雨水，初期雨水产生的地表径流经沉淀池沉淀后回用。</w:t>
            </w:r>
          </w:p>
          <w:p>
            <w:pPr>
              <w:pStyle w:val="64"/>
              <w:spacing w:line="360" w:lineRule="auto"/>
              <w:ind w:firstLine="476" w:firstLineChars="200"/>
              <w:rPr>
                <w:lang w:eastAsia="zh-CN"/>
              </w:rPr>
            </w:pPr>
            <w:r>
              <w:rPr>
                <w:spacing w:val="-1"/>
                <w:lang w:eastAsia="zh-CN"/>
              </w:rPr>
              <w:t>项目初期雨水按照以下公式进行计算：</w:t>
            </w:r>
          </w:p>
          <w:p>
            <w:pPr>
              <w:spacing w:before="124" w:line="319" w:lineRule="exact"/>
              <w:ind w:firstLine="1332" w:firstLineChars="600"/>
              <w:rPr>
                <w:rFonts w:ascii="Times New Roman" w:hAnsi="Times New Roman" w:eastAsia="Times New Roman" w:cs="Times New Roman"/>
                <w:sz w:val="24"/>
              </w:rPr>
            </w:pPr>
            <w:r>
              <w:rPr>
                <w:rFonts w:ascii="Times New Roman" w:hAnsi="Times New Roman" w:eastAsia="Times New Roman" w:cs="Times New Roman"/>
                <w:i/>
                <w:iCs/>
                <w:spacing w:val="-5"/>
                <w:w w:val="97"/>
                <w:position w:val="4"/>
                <w:sz w:val="24"/>
              </w:rPr>
              <w:t>Q=Ψ×q×F</w:t>
            </w:r>
          </w:p>
          <w:p>
            <w:pPr>
              <w:pStyle w:val="64"/>
              <w:spacing w:before="153" w:line="210" w:lineRule="auto"/>
              <w:ind w:left="592"/>
            </w:pPr>
            <w:r>
              <w:rPr>
                <w:spacing w:val="-3"/>
              </w:rPr>
              <w:t>式中：</w:t>
            </w:r>
            <w:r>
              <w:rPr>
                <w:rFonts w:ascii="Times New Roman" w:hAnsi="Times New Roman" w:eastAsia="Times New Roman" w:cs="Times New Roman"/>
                <w:spacing w:val="-3"/>
              </w:rPr>
              <w:t>Q——</w:t>
            </w:r>
            <w:r>
              <w:rPr>
                <w:spacing w:val="-3"/>
              </w:rPr>
              <w:t>雨水流量（</w:t>
            </w:r>
            <w:r>
              <w:rPr>
                <w:rFonts w:ascii="Times New Roman" w:hAnsi="Times New Roman" w:eastAsia="Times New Roman" w:cs="Times New Roman"/>
                <w:spacing w:val="-3"/>
              </w:rPr>
              <w:t>L/s</w:t>
            </w:r>
            <w:r>
              <w:rPr>
                <w:spacing w:val="3"/>
              </w:rPr>
              <w:t>）；</w:t>
            </w:r>
          </w:p>
          <w:p>
            <w:pPr>
              <w:pStyle w:val="64"/>
              <w:spacing w:before="192" w:line="219" w:lineRule="auto"/>
              <w:ind w:left="1420"/>
              <w:rPr>
                <w:lang w:eastAsia="zh-CN"/>
              </w:rPr>
            </w:pPr>
            <w:r>
              <w:rPr>
                <w:rFonts w:ascii="Times New Roman" w:hAnsi="Times New Roman" w:eastAsia="Times New Roman" w:cs="Times New Roman"/>
                <w:spacing w:val="-1"/>
              </w:rPr>
              <w:t>Ψ</w:t>
            </w:r>
            <w:r>
              <w:rPr>
                <w:rFonts w:ascii="Times New Roman" w:hAnsi="Times New Roman" w:eastAsia="Times New Roman" w:cs="Times New Roman"/>
                <w:spacing w:val="-1"/>
                <w:lang w:eastAsia="zh-CN"/>
              </w:rPr>
              <w:t>——</w:t>
            </w:r>
            <w:r>
              <w:rPr>
                <w:spacing w:val="-1"/>
                <w:lang w:eastAsia="zh-CN"/>
              </w:rPr>
              <w:t>径流系数（取</w:t>
            </w:r>
            <w:r>
              <w:rPr>
                <w:rFonts w:ascii="Times New Roman" w:hAnsi="Times New Roman" w:eastAsia="Times New Roman" w:cs="Times New Roman"/>
                <w:spacing w:val="-1"/>
                <w:lang w:eastAsia="zh-CN"/>
              </w:rPr>
              <w:t>0.</w:t>
            </w:r>
            <w:r>
              <w:rPr>
                <w:rFonts w:hint="eastAsia" w:ascii="Times New Roman" w:hAnsi="Times New Roman" w:cs="Times New Roman"/>
                <w:spacing w:val="-1"/>
                <w:lang w:eastAsia="zh-CN"/>
              </w:rPr>
              <w:t>3</w:t>
            </w:r>
            <w:r>
              <w:rPr>
                <w:lang w:eastAsia="zh-CN"/>
              </w:rPr>
              <w:t>）；</w:t>
            </w:r>
          </w:p>
          <w:p>
            <w:pPr>
              <w:pStyle w:val="64"/>
              <w:spacing w:before="183" w:line="212" w:lineRule="auto"/>
              <w:ind w:left="1425"/>
              <w:rPr>
                <w:lang w:eastAsia="zh-CN"/>
              </w:rPr>
            </w:pPr>
            <w:r>
              <w:rPr>
                <w:rFonts w:ascii="Times New Roman" w:hAnsi="Times New Roman" w:eastAsia="Times New Roman" w:cs="Times New Roman"/>
                <w:spacing w:val="-2"/>
                <w:lang w:eastAsia="zh-CN"/>
              </w:rPr>
              <w:t>q——</w:t>
            </w:r>
            <w:r>
              <w:rPr>
                <w:spacing w:val="-2"/>
                <w:lang w:eastAsia="zh-CN"/>
              </w:rPr>
              <w:t>设计暴雨强度（</w:t>
            </w:r>
            <w:r>
              <w:rPr>
                <w:rFonts w:ascii="Times New Roman" w:hAnsi="Times New Roman" w:eastAsia="Times New Roman" w:cs="Times New Roman"/>
                <w:spacing w:val="-2"/>
                <w:lang w:eastAsia="zh-CN"/>
              </w:rPr>
              <w:t>L/s·hm</w:t>
            </w:r>
            <w:r>
              <w:rPr>
                <w:rFonts w:ascii="Times New Roman" w:hAnsi="Times New Roman" w:eastAsia="Times New Roman" w:cs="Times New Roman"/>
                <w:spacing w:val="-2"/>
                <w:position w:val="8"/>
                <w:sz w:val="15"/>
                <w:szCs w:val="15"/>
                <w:lang w:eastAsia="zh-CN"/>
              </w:rPr>
              <w:t>2</w:t>
            </w:r>
            <w:r>
              <w:rPr>
                <w:spacing w:val="-2"/>
                <w:lang w:eastAsia="zh-CN"/>
              </w:rPr>
              <w:t>）</w:t>
            </w:r>
          </w:p>
          <w:p>
            <w:pPr>
              <w:pStyle w:val="64"/>
              <w:spacing w:before="193" w:line="465" w:lineRule="exact"/>
              <w:ind w:left="1421"/>
              <w:rPr>
                <w:lang w:eastAsia="zh-CN"/>
              </w:rPr>
            </w:pPr>
            <w:r>
              <w:rPr>
                <w:rFonts w:ascii="Times New Roman" w:hAnsi="Times New Roman" w:eastAsia="Times New Roman" w:cs="Times New Roman"/>
                <w:spacing w:val="-3"/>
                <w:position w:val="17"/>
                <w:lang w:eastAsia="zh-CN"/>
              </w:rPr>
              <w:t>F——</w:t>
            </w:r>
            <w:r>
              <w:rPr>
                <w:spacing w:val="-3"/>
                <w:position w:val="17"/>
                <w:lang w:eastAsia="zh-CN"/>
              </w:rPr>
              <w:t>汇水面积（</w:t>
            </w:r>
            <w:r>
              <w:rPr>
                <w:rFonts w:ascii="Times New Roman" w:hAnsi="Times New Roman" w:eastAsia="Times New Roman" w:cs="Times New Roman"/>
                <w:spacing w:val="-3"/>
                <w:position w:val="17"/>
                <w:lang w:eastAsia="zh-CN"/>
              </w:rPr>
              <w:t>hm</w:t>
            </w:r>
            <w:r>
              <w:rPr>
                <w:rFonts w:ascii="Times New Roman" w:hAnsi="Times New Roman" w:eastAsia="Times New Roman" w:cs="Times New Roman"/>
                <w:spacing w:val="-3"/>
                <w:position w:val="24"/>
                <w:sz w:val="15"/>
                <w:szCs w:val="15"/>
                <w:lang w:eastAsia="zh-CN"/>
              </w:rPr>
              <w:t>2</w:t>
            </w:r>
            <w:r>
              <w:rPr>
                <w:spacing w:val="-3"/>
                <w:position w:val="17"/>
                <w:lang w:eastAsia="zh-CN"/>
              </w:rPr>
              <w:t>，</w:t>
            </w:r>
            <w:r>
              <w:rPr>
                <w:rFonts w:hint="eastAsia" w:ascii="Times New Roman" w:hAnsi="Times New Roman" w:cs="Times New Roman"/>
                <w:spacing w:val="-3"/>
                <w:position w:val="17"/>
                <w:lang w:eastAsia="zh-CN"/>
              </w:rPr>
              <w:t>0.94</w:t>
            </w:r>
            <w:r>
              <w:rPr>
                <w:rFonts w:ascii="Times New Roman" w:hAnsi="Times New Roman" w:eastAsia="Times New Roman" w:cs="Times New Roman"/>
                <w:spacing w:val="-3"/>
                <w:position w:val="17"/>
                <w:lang w:eastAsia="zh-CN"/>
              </w:rPr>
              <w:t>hm</w:t>
            </w:r>
            <w:r>
              <w:rPr>
                <w:rFonts w:ascii="Times New Roman" w:hAnsi="Times New Roman" w:eastAsia="Times New Roman" w:cs="Times New Roman"/>
                <w:spacing w:val="-3"/>
                <w:position w:val="24"/>
                <w:sz w:val="15"/>
                <w:szCs w:val="15"/>
                <w:lang w:eastAsia="zh-CN"/>
              </w:rPr>
              <w:t>2</w:t>
            </w:r>
            <w:r>
              <w:rPr>
                <w:spacing w:val="-4"/>
                <w:position w:val="17"/>
                <w:lang w:eastAsia="zh-CN"/>
              </w:rPr>
              <w:t>）。</w:t>
            </w:r>
          </w:p>
          <w:p>
            <w:pPr>
              <w:pStyle w:val="64"/>
              <w:spacing w:before="1" w:line="360" w:lineRule="auto"/>
              <w:ind w:left="606"/>
              <w:rPr>
                <w:lang w:eastAsia="zh-CN"/>
              </w:rPr>
            </w:pPr>
            <w:r>
              <w:rPr>
                <w:spacing w:val="-2"/>
                <w:lang w:eastAsia="zh-CN"/>
              </w:rPr>
              <w:t>降雨强度按</w:t>
            </w:r>
            <w:r>
              <w:rPr>
                <w:rFonts w:hint="eastAsia"/>
                <w:spacing w:val="-2"/>
                <w:lang w:eastAsia="zh-CN"/>
              </w:rPr>
              <w:t>临沧</w:t>
            </w:r>
            <w:r>
              <w:rPr>
                <w:spacing w:val="-2"/>
                <w:lang w:eastAsia="zh-CN"/>
              </w:rPr>
              <w:t>市暴雨强度公式计算：</w:t>
            </w:r>
          </w:p>
          <w:p>
            <w:pPr>
              <w:snapToGrid w:val="0"/>
              <w:spacing w:line="360" w:lineRule="auto"/>
              <w:ind w:firstLine="480" w:firstLineChars="200"/>
              <w:jc w:val="center"/>
              <w:rPr>
                <w:sz w:val="24"/>
              </w:rPr>
            </w:pPr>
            <w:r>
              <w:rPr>
                <w:rFonts w:eastAsia="TimesNewRomanPSMT"/>
                <w:kern w:val="0"/>
                <w:sz w:val="24"/>
              </w:rPr>
              <w:t>q</w:t>
            </w:r>
            <w:r>
              <w:rPr>
                <w:kern w:val="0"/>
                <w:sz w:val="24"/>
              </w:rPr>
              <w:t>＝</w:t>
            </w:r>
            <w:r>
              <w:rPr>
                <w:rFonts w:hint="eastAsia"/>
                <w:sz w:val="24"/>
              </w:rPr>
              <w:t>5534(</w:t>
            </w:r>
            <w:r>
              <w:rPr>
                <w:sz w:val="24"/>
              </w:rPr>
              <w:t>1+</w:t>
            </w:r>
            <w:r>
              <w:rPr>
                <w:rFonts w:hint="eastAsia"/>
                <w:sz w:val="24"/>
              </w:rPr>
              <w:t>0.6991</w:t>
            </w:r>
            <w:r>
              <w:rPr>
                <w:sz w:val="24"/>
              </w:rPr>
              <w:t>lgP)/</w:t>
            </w:r>
            <w:r>
              <w:rPr>
                <w:rFonts w:hint="eastAsia"/>
                <w:sz w:val="24"/>
              </w:rPr>
              <w:t>（</w:t>
            </w:r>
            <w:r>
              <w:rPr>
                <w:sz w:val="24"/>
              </w:rPr>
              <w:t>t</w:t>
            </w:r>
            <w:r>
              <w:rPr>
                <w:rFonts w:hint="eastAsia"/>
                <w:sz w:val="24"/>
              </w:rPr>
              <w:t>+14.7P</w:t>
            </w:r>
            <w:r>
              <w:rPr>
                <w:rFonts w:hint="eastAsia"/>
                <w:sz w:val="24"/>
                <w:vertAlign w:val="superscript"/>
              </w:rPr>
              <w:t>0.112</w:t>
            </w:r>
            <w:r>
              <w:rPr>
                <w:rFonts w:hint="eastAsia"/>
                <w:sz w:val="24"/>
              </w:rPr>
              <w:t>）</w:t>
            </w:r>
          </w:p>
          <w:p>
            <w:pPr>
              <w:autoSpaceDE w:val="0"/>
              <w:autoSpaceDN w:val="0"/>
              <w:adjustRightInd w:val="0"/>
              <w:snapToGrid w:val="0"/>
              <w:spacing w:line="360" w:lineRule="auto"/>
              <w:ind w:firstLine="480" w:firstLineChars="200"/>
              <w:rPr>
                <w:sz w:val="24"/>
              </w:rPr>
            </w:pPr>
            <w:r>
              <w:rPr>
                <w:sz w:val="24"/>
              </w:rPr>
              <w:t>式中</w:t>
            </w:r>
            <w:r>
              <w:rPr>
                <w:rFonts w:hint="eastAsia"/>
                <w:kern w:val="0"/>
                <w:sz w:val="24"/>
              </w:rPr>
              <w:t>：</w:t>
            </w:r>
          </w:p>
          <w:p>
            <w:pPr>
              <w:snapToGrid w:val="0"/>
              <w:spacing w:line="360" w:lineRule="auto"/>
              <w:ind w:firstLine="960" w:firstLineChars="400"/>
              <w:jc w:val="left"/>
              <w:rPr>
                <w:sz w:val="24"/>
              </w:rPr>
            </w:pPr>
            <w:r>
              <w:rPr>
                <w:sz w:val="24"/>
              </w:rPr>
              <w:t>p---暴雨重现期（年），采用</w:t>
            </w:r>
            <w:r>
              <w:rPr>
                <w:rFonts w:hint="eastAsia"/>
                <w:sz w:val="24"/>
              </w:rPr>
              <w:t>10</w:t>
            </w:r>
            <w:r>
              <w:rPr>
                <w:sz w:val="24"/>
              </w:rPr>
              <w:t>年；</w:t>
            </w:r>
          </w:p>
          <w:p>
            <w:pPr>
              <w:snapToGrid w:val="0"/>
              <w:spacing w:line="360" w:lineRule="auto"/>
              <w:ind w:firstLine="960" w:firstLineChars="400"/>
              <w:jc w:val="left"/>
              <w:rPr>
                <w:sz w:val="24"/>
              </w:rPr>
            </w:pPr>
            <w:r>
              <w:rPr>
                <w:sz w:val="24"/>
              </w:rPr>
              <w:t>t—地面集水时间（h），15min。</w:t>
            </w:r>
          </w:p>
          <w:p>
            <w:pPr>
              <w:snapToGrid w:val="0"/>
              <w:spacing w:line="360" w:lineRule="auto"/>
              <w:ind w:firstLine="480" w:firstLineChars="200"/>
              <w:rPr>
                <w:sz w:val="24"/>
              </w:rPr>
            </w:pPr>
            <w:r>
              <w:rPr>
                <w:sz w:val="24"/>
              </w:rPr>
              <w:t>经计算，暴雨强度q为276.35（L/s·hm</w:t>
            </w:r>
            <w:r>
              <w:rPr>
                <w:sz w:val="24"/>
                <w:vertAlign w:val="superscript"/>
              </w:rPr>
              <w:t>2</w:t>
            </w:r>
            <w:r>
              <w:rPr>
                <w:sz w:val="24"/>
              </w:rPr>
              <w:t>）。</w:t>
            </w:r>
          </w:p>
          <w:p>
            <w:pPr>
              <w:pStyle w:val="64"/>
              <w:spacing w:line="359" w:lineRule="auto"/>
              <w:ind w:firstLine="479"/>
              <w:rPr>
                <w:rFonts w:ascii="Times New Roman" w:hAnsi="Times New Roman" w:cs="Times New Roman"/>
                <w:spacing w:val="-4"/>
                <w:lang w:eastAsia="zh-CN"/>
              </w:rPr>
            </w:pPr>
            <w:r>
              <w:rPr>
                <w:spacing w:val="-3"/>
                <w:lang w:eastAsia="zh-CN"/>
              </w:rPr>
              <w:t>按照上述公式进行计算，项目暴雨天气时设计暴雨强度</w:t>
            </w:r>
            <w:r>
              <w:rPr>
                <w:rFonts w:hint="eastAsia"/>
                <w:spacing w:val="-3"/>
                <w:lang w:eastAsia="zh-CN"/>
              </w:rPr>
              <w:t>276.35</w:t>
            </w:r>
            <w:r>
              <w:rPr>
                <w:rFonts w:ascii="Times New Roman" w:hAnsi="Times New Roman" w:eastAsia="Times New Roman" w:cs="Times New Roman"/>
                <w:spacing w:val="-4"/>
                <w:lang w:eastAsia="zh-CN"/>
              </w:rPr>
              <w:t>L/s·hm</w:t>
            </w:r>
            <w:r>
              <w:rPr>
                <w:rFonts w:ascii="Times New Roman" w:hAnsi="Times New Roman" w:eastAsia="Times New Roman" w:cs="Times New Roman"/>
                <w:spacing w:val="-4"/>
                <w:position w:val="8"/>
                <w:sz w:val="15"/>
                <w:szCs w:val="15"/>
                <w:lang w:eastAsia="zh-CN"/>
              </w:rPr>
              <w:t>2</w:t>
            </w:r>
            <w:r>
              <w:rPr>
                <w:spacing w:val="-4"/>
                <w:lang w:eastAsia="zh-CN"/>
              </w:rPr>
              <w:t>，即初期</w:t>
            </w:r>
            <w:r>
              <w:rPr>
                <w:spacing w:val="-1"/>
                <w:lang w:eastAsia="zh-CN"/>
              </w:rPr>
              <w:t>降雨</w:t>
            </w:r>
            <w:r>
              <w:rPr>
                <w:rFonts w:hint="eastAsia" w:ascii="Times New Roman" w:hAnsi="Times New Roman" w:cs="Times New Roman"/>
                <w:spacing w:val="-1"/>
                <w:lang w:eastAsia="zh-CN"/>
              </w:rPr>
              <w:t>15</w:t>
            </w:r>
            <w:r>
              <w:rPr>
                <w:rFonts w:ascii="Times New Roman" w:hAnsi="Times New Roman" w:eastAsia="Times New Roman" w:cs="Times New Roman"/>
                <w:spacing w:val="-1"/>
                <w:lang w:eastAsia="zh-CN"/>
              </w:rPr>
              <w:t>min</w:t>
            </w:r>
            <w:r>
              <w:rPr>
                <w:spacing w:val="-1"/>
                <w:lang w:eastAsia="zh-CN"/>
              </w:rPr>
              <w:t>汇水量为</w:t>
            </w:r>
            <w:r>
              <w:rPr>
                <w:rFonts w:hint="eastAsia" w:ascii="Times New Roman" w:hAnsi="Times New Roman" w:cs="Times New Roman"/>
                <w:spacing w:val="-1"/>
                <w:lang w:eastAsia="zh-CN"/>
              </w:rPr>
              <w:t>77.93</w:t>
            </w:r>
            <w:r>
              <w:rPr>
                <w:rFonts w:ascii="Times New Roman" w:hAnsi="Times New Roman" w:eastAsia="Times New Roman" w:cs="Times New Roman"/>
                <w:spacing w:val="-1"/>
                <w:lang w:eastAsia="zh-CN"/>
              </w:rPr>
              <w:t>m</w:t>
            </w:r>
            <w:r>
              <w:rPr>
                <w:rFonts w:ascii="Times New Roman" w:hAnsi="Times New Roman" w:eastAsia="Times New Roman" w:cs="Times New Roman"/>
                <w:spacing w:val="-1"/>
                <w:position w:val="8"/>
                <w:sz w:val="15"/>
                <w:szCs w:val="15"/>
                <w:lang w:eastAsia="zh-CN"/>
              </w:rPr>
              <w:t>3</w:t>
            </w:r>
            <w:r>
              <w:rPr>
                <w:spacing w:val="-1"/>
                <w:lang w:eastAsia="zh-CN"/>
              </w:rPr>
              <w:t>，项目建设</w:t>
            </w:r>
            <w:r>
              <w:rPr>
                <w:spacing w:val="-2"/>
                <w:lang w:eastAsia="zh-CN"/>
              </w:rPr>
              <w:t>单位拟在厂区内建设</w:t>
            </w:r>
            <w:r>
              <w:rPr>
                <w:rFonts w:ascii="Times New Roman" w:hAnsi="Times New Roman" w:eastAsia="Times New Roman" w:cs="Times New Roman"/>
                <w:spacing w:val="-2"/>
                <w:lang w:eastAsia="zh-CN"/>
              </w:rPr>
              <w:t>1</w:t>
            </w:r>
            <w:r>
              <w:rPr>
                <w:spacing w:val="-2"/>
                <w:lang w:eastAsia="zh-CN"/>
              </w:rPr>
              <w:t>座容积为</w:t>
            </w:r>
            <w:r>
              <w:rPr>
                <w:rFonts w:hint="eastAsia" w:ascii="Times New Roman" w:hAnsi="Times New Roman" w:cs="Times New Roman"/>
                <w:spacing w:val="-2"/>
                <w:lang w:eastAsia="zh-CN"/>
              </w:rPr>
              <w:t>100</w:t>
            </w:r>
            <w:r>
              <w:rPr>
                <w:rFonts w:ascii="Times New Roman" w:hAnsi="Times New Roman" w:eastAsia="Times New Roman" w:cs="Times New Roman"/>
                <w:spacing w:val="-2"/>
                <w:lang w:eastAsia="zh-CN"/>
              </w:rPr>
              <w:t>m</w:t>
            </w:r>
            <w:r>
              <w:rPr>
                <w:rFonts w:ascii="Times New Roman" w:hAnsi="Times New Roman" w:eastAsia="Times New Roman" w:cs="Times New Roman"/>
                <w:spacing w:val="-2"/>
                <w:position w:val="8"/>
                <w:sz w:val="15"/>
                <w:szCs w:val="15"/>
                <w:lang w:eastAsia="zh-CN"/>
              </w:rPr>
              <w:t>3</w:t>
            </w:r>
            <w:r>
              <w:rPr>
                <w:spacing w:val="-2"/>
                <w:lang w:eastAsia="zh-CN"/>
              </w:rPr>
              <w:t>的初</w:t>
            </w:r>
            <w:r>
              <w:rPr>
                <w:spacing w:val="-7"/>
                <w:lang w:eastAsia="zh-CN"/>
              </w:rPr>
              <w:t>期雨水收集池，可以满足要求。初期雨水沉淀后作为生产用水回用</w:t>
            </w:r>
            <w:r>
              <w:rPr>
                <w:spacing w:val="-8"/>
                <w:lang w:eastAsia="zh-CN"/>
              </w:rPr>
              <w:t>于生产、不外排</w:t>
            </w:r>
            <w:r>
              <w:rPr>
                <w:spacing w:val="-1"/>
                <w:lang w:eastAsia="zh-CN"/>
              </w:rPr>
              <w:t>。</w:t>
            </w:r>
          </w:p>
          <w:p>
            <w:pPr>
              <w:widowControl/>
              <w:wordWrap w:val="0"/>
              <w:spacing w:line="360" w:lineRule="auto"/>
              <w:ind w:firstLine="480" w:firstLineChars="200"/>
              <w:rPr>
                <w:rFonts w:ascii="Times New Roman" w:hAnsi="Times New Roman" w:eastAsia="宋体" w:cs="Times New Roman"/>
                <w:kern w:val="0"/>
                <w:sz w:val="24"/>
                <w:lang w:bidi="ar"/>
              </w:rPr>
            </w:pPr>
            <w:r>
              <w:rPr>
                <w:rFonts w:ascii="Times New Roman" w:hAnsi="Times New Roman" w:eastAsia="宋体" w:cs="Times New Roman"/>
                <w:sz w:val="24"/>
              </w:rPr>
              <w:t>项目</w:t>
            </w:r>
            <w:r>
              <w:rPr>
                <w:rFonts w:ascii="Times New Roman" w:hAnsi="Times New Roman" w:eastAsia="宋体" w:cs="Times New Roman"/>
                <w:kern w:val="0"/>
                <w:sz w:val="24"/>
                <w:lang w:bidi="ar"/>
              </w:rPr>
              <w:t>用水及污水排放情况见表2-5，水平衡图见图2-1。</w:t>
            </w:r>
          </w:p>
          <w:p>
            <w:pPr>
              <w:pStyle w:val="11"/>
              <w:adjustRightInd w:val="0"/>
              <w:snapToGrid w:val="0"/>
              <w:jc w:val="center"/>
              <w:rPr>
                <w:rFonts w:ascii="Times New Roman" w:hAnsi="Times New Roman" w:eastAsia="宋体" w:cs="Times New Roman"/>
                <w:b/>
                <w:bCs/>
                <w:sz w:val="21"/>
                <w:szCs w:val="21"/>
              </w:rPr>
            </w:pPr>
            <w:r>
              <w:rPr>
                <w:rFonts w:ascii="Times New Roman" w:hAnsi="Times New Roman" w:eastAsia="宋体" w:cs="Times New Roman"/>
                <w:b/>
                <w:bCs/>
                <w:sz w:val="21"/>
                <w:szCs w:val="21"/>
              </w:rPr>
              <w:t>表2-5 项目用水及污水产生情况一览表</w:t>
            </w:r>
            <w:r>
              <w:rPr>
                <w:rFonts w:hint="eastAsia" w:ascii="Times New Roman" w:hAnsi="Times New Roman" w:eastAsia="宋体" w:cs="Times New Roman"/>
                <w:b/>
                <w:bCs/>
                <w:sz w:val="21"/>
                <w:szCs w:val="21"/>
              </w:rPr>
              <w:t xml:space="preserve">  </w:t>
            </w:r>
            <w:r>
              <w:rPr>
                <w:rFonts w:ascii="Times New Roman" w:hAnsi="Times New Roman" w:eastAsia="宋体" w:cs="Times New Roman"/>
                <w:b/>
                <w:bCs/>
                <w:sz w:val="21"/>
                <w:szCs w:val="21"/>
              </w:rPr>
              <w:t>单位：m³/d</w:t>
            </w:r>
          </w:p>
          <w:tbl>
            <w:tblPr>
              <w:tblStyle w:val="29"/>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2"/>
              <w:gridCol w:w="1561"/>
              <w:gridCol w:w="924"/>
              <w:gridCol w:w="1077"/>
              <w:gridCol w:w="1256"/>
              <w:gridCol w:w="1389"/>
              <w:gridCol w:w="1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320" w:type="pct"/>
                  <w:vMerge w:val="restart"/>
                  <w:vAlign w:val="center"/>
                </w:tcPr>
                <w:p>
                  <w:pPr>
                    <w:tabs>
                      <w:tab w:val="left" w:pos="3345"/>
                    </w:tabs>
                    <w:snapToGrid w:val="0"/>
                    <w:spacing w:line="340" w:lineRule="exact"/>
                    <w:jc w:val="center"/>
                    <w:rPr>
                      <w:b/>
                      <w:bCs/>
                      <w:iCs/>
                      <w:snapToGrid w:val="0"/>
                      <w:kern w:val="0"/>
                      <w:szCs w:val="18"/>
                    </w:rPr>
                  </w:pPr>
                  <w:bookmarkStart w:id="291" w:name="OLE_LINK20"/>
                  <w:r>
                    <w:rPr>
                      <w:b/>
                      <w:bCs/>
                      <w:iCs/>
                      <w:snapToGrid w:val="0"/>
                      <w:kern w:val="0"/>
                      <w:szCs w:val="18"/>
                    </w:rPr>
                    <w:t>序号</w:t>
                  </w:r>
                </w:p>
              </w:tc>
              <w:tc>
                <w:tcPr>
                  <w:tcW w:w="995" w:type="pct"/>
                  <w:vMerge w:val="restart"/>
                  <w:vAlign w:val="center"/>
                </w:tcPr>
                <w:p>
                  <w:pPr>
                    <w:tabs>
                      <w:tab w:val="left" w:pos="3345"/>
                    </w:tabs>
                    <w:snapToGrid w:val="0"/>
                    <w:spacing w:line="340" w:lineRule="exact"/>
                    <w:jc w:val="center"/>
                    <w:rPr>
                      <w:b/>
                      <w:bCs/>
                      <w:iCs/>
                      <w:snapToGrid w:val="0"/>
                      <w:kern w:val="0"/>
                      <w:szCs w:val="18"/>
                    </w:rPr>
                  </w:pPr>
                  <w:r>
                    <w:rPr>
                      <w:b/>
                      <w:bCs/>
                      <w:iCs/>
                      <w:snapToGrid w:val="0"/>
                      <w:kern w:val="0"/>
                      <w:szCs w:val="18"/>
                    </w:rPr>
                    <w:t>用水单元</w:t>
                  </w:r>
                </w:p>
              </w:tc>
              <w:tc>
                <w:tcPr>
                  <w:tcW w:w="590" w:type="pct"/>
                  <w:vMerge w:val="restart"/>
                  <w:vAlign w:val="center"/>
                </w:tcPr>
                <w:p>
                  <w:pPr>
                    <w:tabs>
                      <w:tab w:val="left" w:pos="3345"/>
                    </w:tabs>
                    <w:snapToGrid w:val="0"/>
                    <w:spacing w:line="340" w:lineRule="exact"/>
                    <w:jc w:val="center"/>
                    <w:rPr>
                      <w:b/>
                      <w:bCs/>
                      <w:iCs/>
                      <w:snapToGrid w:val="0"/>
                      <w:kern w:val="0"/>
                      <w:szCs w:val="18"/>
                    </w:rPr>
                  </w:pPr>
                  <w:r>
                    <w:rPr>
                      <w:rFonts w:hint="eastAsia"/>
                      <w:b/>
                      <w:bCs/>
                      <w:iCs/>
                      <w:snapToGrid w:val="0"/>
                      <w:kern w:val="0"/>
                      <w:szCs w:val="18"/>
                    </w:rPr>
                    <w:t>总用水量</w:t>
                  </w:r>
                </w:p>
              </w:tc>
              <w:tc>
                <w:tcPr>
                  <w:tcW w:w="1490" w:type="pct"/>
                  <w:gridSpan w:val="2"/>
                  <w:vAlign w:val="center"/>
                </w:tcPr>
                <w:p>
                  <w:pPr>
                    <w:tabs>
                      <w:tab w:val="left" w:pos="3345"/>
                    </w:tabs>
                    <w:snapToGrid w:val="0"/>
                    <w:spacing w:line="340" w:lineRule="exact"/>
                    <w:jc w:val="center"/>
                    <w:rPr>
                      <w:b/>
                      <w:bCs/>
                      <w:iCs/>
                      <w:snapToGrid w:val="0"/>
                      <w:kern w:val="0"/>
                      <w:szCs w:val="18"/>
                    </w:rPr>
                  </w:pPr>
                  <w:r>
                    <w:rPr>
                      <w:b/>
                      <w:bCs/>
                      <w:iCs/>
                      <w:snapToGrid w:val="0"/>
                      <w:kern w:val="0"/>
                      <w:szCs w:val="18"/>
                    </w:rPr>
                    <w:t>投入量</w:t>
                  </w:r>
                </w:p>
              </w:tc>
              <w:tc>
                <w:tcPr>
                  <w:tcW w:w="1602" w:type="pct"/>
                  <w:gridSpan w:val="2"/>
                  <w:vAlign w:val="center"/>
                </w:tcPr>
                <w:p>
                  <w:pPr>
                    <w:tabs>
                      <w:tab w:val="left" w:pos="3345"/>
                    </w:tabs>
                    <w:snapToGrid w:val="0"/>
                    <w:spacing w:line="340" w:lineRule="exact"/>
                    <w:jc w:val="center"/>
                    <w:rPr>
                      <w:b/>
                      <w:bCs/>
                      <w:iCs/>
                      <w:snapToGrid w:val="0"/>
                      <w:kern w:val="0"/>
                      <w:szCs w:val="18"/>
                    </w:rPr>
                  </w:pPr>
                  <w:r>
                    <w:rPr>
                      <w:rFonts w:hint="eastAsia"/>
                      <w:b/>
                      <w:bCs/>
                      <w:iCs/>
                      <w:snapToGrid w:val="0"/>
                      <w:kern w:val="0"/>
                      <w:szCs w:val="18"/>
                    </w:rPr>
                    <w:t>产出</w:t>
                  </w:r>
                  <w:r>
                    <w:rPr>
                      <w:b/>
                      <w:bCs/>
                      <w:iCs/>
                      <w:snapToGrid w:val="0"/>
                      <w:kern w:val="0"/>
                      <w:szCs w:val="18"/>
                    </w:rPr>
                    <w:t>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320" w:type="pct"/>
                  <w:vMerge w:val="continue"/>
                  <w:vAlign w:val="center"/>
                </w:tcPr>
                <w:p>
                  <w:pPr>
                    <w:tabs>
                      <w:tab w:val="left" w:pos="3345"/>
                    </w:tabs>
                    <w:snapToGrid w:val="0"/>
                    <w:spacing w:line="340" w:lineRule="exact"/>
                    <w:jc w:val="center"/>
                    <w:rPr>
                      <w:b/>
                      <w:bCs/>
                      <w:iCs/>
                      <w:snapToGrid w:val="0"/>
                      <w:kern w:val="0"/>
                      <w:szCs w:val="18"/>
                    </w:rPr>
                  </w:pPr>
                </w:p>
              </w:tc>
              <w:tc>
                <w:tcPr>
                  <w:tcW w:w="995" w:type="pct"/>
                  <w:vMerge w:val="continue"/>
                  <w:vAlign w:val="center"/>
                </w:tcPr>
                <w:p>
                  <w:pPr>
                    <w:tabs>
                      <w:tab w:val="left" w:pos="3345"/>
                    </w:tabs>
                    <w:snapToGrid w:val="0"/>
                    <w:spacing w:line="340" w:lineRule="exact"/>
                    <w:jc w:val="center"/>
                    <w:rPr>
                      <w:b/>
                      <w:bCs/>
                      <w:iCs/>
                      <w:snapToGrid w:val="0"/>
                      <w:kern w:val="0"/>
                      <w:szCs w:val="18"/>
                    </w:rPr>
                  </w:pPr>
                </w:p>
              </w:tc>
              <w:tc>
                <w:tcPr>
                  <w:tcW w:w="590" w:type="pct"/>
                  <w:vMerge w:val="continue"/>
                  <w:vAlign w:val="center"/>
                </w:tcPr>
                <w:p>
                  <w:pPr>
                    <w:tabs>
                      <w:tab w:val="left" w:pos="3345"/>
                    </w:tabs>
                    <w:snapToGrid w:val="0"/>
                    <w:spacing w:line="340" w:lineRule="exact"/>
                    <w:jc w:val="center"/>
                    <w:rPr>
                      <w:b/>
                      <w:bCs/>
                      <w:iCs/>
                      <w:snapToGrid w:val="0"/>
                      <w:kern w:val="0"/>
                      <w:szCs w:val="18"/>
                    </w:rPr>
                  </w:pPr>
                </w:p>
              </w:tc>
              <w:tc>
                <w:tcPr>
                  <w:tcW w:w="688" w:type="pct"/>
                  <w:vAlign w:val="center"/>
                </w:tcPr>
                <w:p>
                  <w:pPr>
                    <w:tabs>
                      <w:tab w:val="left" w:pos="3345"/>
                    </w:tabs>
                    <w:snapToGrid w:val="0"/>
                    <w:spacing w:line="340" w:lineRule="exact"/>
                    <w:jc w:val="center"/>
                    <w:rPr>
                      <w:b/>
                      <w:bCs/>
                      <w:iCs/>
                      <w:snapToGrid w:val="0"/>
                      <w:kern w:val="0"/>
                      <w:szCs w:val="18"/>
                    </w:rPr>
                  </w:pPr>
                  <w:r>
                    <w:rPr>
                      <w:b/>
                      <w:bCs/>
                      <w:iCs/>
                      <w:snapToGrid w:val="0"/>
                      <w:kern w:val="0"/>
                      <w:szCs w:val="18"/>
                    </w:rPr>
                    <w:t>新鲜水量</w:t>
                  </w:r>
                </w:p>
              </w:tc>
              <w:tc>
                <w:tcPr>
                  <w:tcW w:w="802" w:type="pct"/>
                  <w:vAlign w:val="center"/>
                </w:tcPr>
                <w:p>
                  <w:pPr>
                    <w:tabs>
                      <w:tab w:val="left" w:pos="3345"/>
                    </w:tabs>
                    <w:snapToGrid w:val="0"/>
                    <w:spacing w:line="340" w:lineRule="exact"/>
                    <w:jc w:val="center"/>
                    <w:rPr>
                      <w:b/>
                      <w:bCs/>
                      <w:iCs/>
                      <w:snapToGrid w:val="0"/>
                      <w:kern w:val="0"/>
                      <w:szCs w:val="18"/>
                    </w:rPr>
                  </w:pPr>
                  <w:r>
                    <w:rPr>
                      <w:b/>
                      <w:bCs/>
                      <w:iCs/>
                      <w:snapToGrid w:val="0"/>
                      <w:kern w:val="0"/>
                      <w:szCs w:val="18"/>
                    </w:rPr>
                    <w:t>循环水量</w:t>
                  </w:r>
                </w:p>
              </w:tc>
              <w:tc>
                <w:tcPr>
                  <w:tcW w:w="886" w:type="pct"/>
                  <w:vAlign w:val="center"/>
                </w:tcPr>
                <w:p>
                  <w:pPr>
                    <w:tabs>
                      <w:tab w:val="left" w:pos="3345"/>
                    </w:tabs>
                    <w:snapToGrid w:val="0"/>
                    <w:spacing w:line="340" w:lineRule="exact"/>
                    <w:jc w:val="center"/>
                    <w:rPr>
                      <w:b/>
                      <w:bCs/>
                      <w:iCs/>
                      <w:snapToGrid w:val="0"/>
                      <w:kern w:val="0"/>
                      <w:szCs w:val="18"/>
                    </w:rPr>
                  </w:pPr>
                  <w:r>
                    <w:rPr>
                      <w:b/>
                      <w:bCs/>
                      <w:iCs/>
                      <w:snapToGrid w:val="0"/>
                      <w:kern w:val="0"/>
                      <w:szCs w:val="18"/>
                    </w:rPr>
                    <w:t>蒸发及</w:t>
                  </w:r>
                  <w:r>
                    <w:rPr>
                      <w:rFonts w:hint="eastAsia"/>
                      <w:b/>
                      <w:bCs/>
                      <w:iCs/>
                      <w:snapToGrid w:val="0"/>
                      <w:kern w:val="0"/>
                      <w:szCs w:val="18"/>
                    </w:rPr>
                    <w:t>其他</w:t>
                  </w:r>
                  <w:r>
                    <w:rPr>
                      <w:b/>
                      <w:bCs/>
                      <w:iCs/>
                      <w:snapToGrid w:val="0"/>
                      <w:kern w:val="0"/>
                      <w:szCs w:val="18"/>
                    </w:rPr>
                    <w:t>损耗</w:t>
                  </w:r>
                </w:p>
              </w:tc>
              <w:tc>
                <w:tcPr>
                  <w:tcW w:w="715" w:type="pct"/>
                  <w:vAlign w:val="center"/>
                </w:tcPr>
                <w:p>
                  <w:pPr>
                    <w:tabs>
                      <w:tab w:val="left" w:pos="3345"/>
                    </w:tabs>
                    <w:snapToGrid w:val="0"/>
                    <w:spacing w:line="340" w:lineRule="exact"/>
                    <w:jc w:val="center"/>
                    <w:rPr>
                      <w:b/>
                      <w:bCs/>
                      <w:iCs/>
                      <w:snapToGrid w:val="0"/>
                      <w:kern w:val="0"/>
                      <w:szCs w:val="18"/>
                    </w:rPr>
                  </w:pPr>
                  <w:r>
                    <w:rPr>
                      <w:rFonts w:hint="eastAsia"/>
                      <w:b/>
                      <w:bCs/>
                      <w:iCs/>
                      <w:snapToGrid w:val="0"/>
                      <w:kern w:val="0"/>
                      <w:szCs w:val="18"/>
                    </w:rPr>
                    <w:t>废水产生</w:t>
                  </w:r>
                  <w:r>
                    <w:rPr>
                      <w:b/>
                      <w:bCs/>
                      <w:iCs/>
                      <w:snapToGrid w:val="0"/>
                      <w:kern w:val="0"/>
                      <w:szCs w:val="18"/>
                    </w:rPr>
                    <w:t>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320" w:type="pct"/>
                  <w:vAlign w:val="center"/>
                </w:tcPr>
                <w:p>
                  <w:pPr>
                    <w:tabs>
                      <w:tab w:val="left" w:pos="3345"/>
                    </w:tabs>
                    <w:snapToGrid w:val="0"/>
                    <w:spacing w:line="340" w:lineRule="exact"/>
                    <w:jc w:val="center"/>
                    <w:rPr>
                      <w:rFonts w:ascii="宋体" w:hAnsi="宋体" w:eastAsia="宋体" w:cs="宋体"/>
                      <w:iCs/>
                      <w:snapToGrid w:val="0"/>
                      <w:kern w:val="0"/>
                      <w:szCs w:val="18"/>
                    </w:rPr>
                  </w:pPr>
                  <w:r>
                    <w:rPr>
                      <w:rFonts w:hint="eastAsia" w:ascii="宋体" w:hAnsi="宋体" w:eastAsia="宋体" w:cs="宋体"/>
                      <w:iCs/>
                      <w:snapToGrid w:val="0"/>
                      <w:kern w:val="0"/>
                      <w:szCs w:val="18"/>
                    </w:rPr>
                    <w:t>1</w:t>
                  </w:r>
                </w:p>
              </w:tc>
              <w:tc>
                <w:tcPr>
                  <w:tcW w:w="995" w:type="pct"/>
                  <w:vAlign w:val="center"/>
                </w:tcPr>
                <w:p>
                  <w:pPr>
                    <w:tabs>
                      <w:tab w:val="left" w:pos="3345"/>
                    </w:tabs>
                    <w:snapToGrid w:val="0"/>
                    <w:spacing w:line="340" w:lineRule="exact"/>
                    <w:jc w:val="center"/>
                    <w:rPr>
                      <w:rFonts w:ascii="宋体" w:hAnsi="宋体" w:eastAsia="宋体" w:cs="宋体"/>
                      <w:iCs/>
                      <w:snapToGrid w:val="0"/>
                      <w:kern w:val="0"/>
                      <w:szCs w:val="18"/>
                    </w:rPr>
                  </w:pPr>
                  <w:r>
                    <w:rPr>
                      <w:rFonts w:hint="eastAsia" w:ascii="宋体" w:hAnsi="宋体" w:eastAsia="宋体" w:cs="宋体"/>
                      <w:iCs/>
                      <w:snapToGrid w:val="0"/>
                      <w:kern w:val="0"/>
                      <w:szCs w:val="18"/>
                    </w:rPr>
                    <w:t>生活用水</w:t>
                  </w:r>
                </w:p>
              </w:tc>
              <w:tc>
                <w:tcPr>
                  <w:tcW w:w="590" w:type="pct"/>
                  <w:vAlign w:val="center"/>
                </w:tcPr>
                <w:p>
                  <w:pPr>
                    <w:tabs>
                      <w:tab w:val="left" w:pos="3345"/>
                    </w:tabs>
                    <w:snapToGrid w:val="0"/>
                    <w:spacing w:line="340" w:lineRule="exact"/>
                    <w:jc w:val="center"/>
                    <w:rPr>
                      <w:rFonts w:ascii="宋体" w:hAnsi="宋体" w:eastAsia="宋体" w:cs="宋体"/>
                      <w:iCs/>
                      <w:snapToGrid w:val="0"/>
                      <w:kern w:val="0"/>
                      <w:szCs w:val="18"/>
                    </w:rPr>
                  </w:pPr>
                  <w:r>
                    <w:rPr>
                      <w:rFonts w:hint="eastAsia" w:ascii="宋体" w:hAnsi="宋体" w:eastAsia="宋体" w:cs="宋体"/>
                      <w:iCs/>
                      <w:snapToGrid w:val="0"/>
                      <w:kern w:val="0"/>
                      <w:szCs w:val="18"/>
                    </w:rPr>
                    <w:t>1</w:t>
                  </w:r>
                </w:p>
              </w:tc>
              <w:tc>
                <w:tcPr>
                  <w:tcW w:w="688" w:type="pct"/>
                  <w:vAlign w:val="center"/>
                </w:tcPr>
                <w:p>
                  <w:pPr>
                    <w:tabs>
                      <w:tab w:val="left" w:pos="3345"/>
                    </w:tabs>
                    <w:snapToGrid w:val="0"/>
                    <w:spacing w:line="340" w:lineRule="exact"/>
                    <w:jc w:val="center"/>
                    <w:rPr>
                      <w:rFonts w:ascii="宋体" w:hAnsi="宋体" w:eastAsia="宋体" w:cs="宋体"/>
                      <w:iCs/>
                      <w:snapToGrid w:val="0"/>
                      <w:kern w:val="0"/>
                      <w:szCs w:val="18"/>
                    </w:rPr>
                  </w:pPr>
                  <w:r>
                    <w:rPr>
                      <w:rFonts w:hint="eastAsia" w:ascii="宋体" w:hAnsi="宋体" w:eastAsia="宋体" w:cs="宋体"/>
                      <w:iCs/>
                      <w:snapToGrid w:val="0"/>
                      <w:kern w:val="0"/>
                      <w:szCs w:val="18"/>
                    </w:rPr>
                    <w:t>1</w:t>
                  </w:r>
                </w:p>
              </w:tc>
              <w:tc>
                <w:tcPr>
                  <w:tcW w:w="802" w:type="pct"/>
                  <w:vAlign w:val="center"/>
                </w:tcPr>
                <w:p>
                  <w:pPr>
                    <w:tabs>
                      <w:tab w:val="left" w:pos="3345"/>
                    </w:tabs>
                    <w:snapToGrid w:val="0"/>
                    <w:spacing w:line="340" w:lineRule="exact"/>
                    <w:jc w:val="center"/>
                    <w:rPr>
                      <w:rFonts w:ascii="宋体" w:hAnsi="宋体" w:eastAsia="宋体" w:cs="宋体"/>
                      <w:iCs/>
                      <w:snapToGrid w:val="0"/>
                      <w:kern w:val="0"/>
                      <w:szCs w:val="18"/>
                    </w:rPr>
                  </w:pPr>
                  <w:r>
                    <w:rPr>
                      <w:rFonts w:hint="eastAsia" w:ascii="宋体" w:hAnsi="宋体" w:eastAsia="宋体" w:cs="宋体"/>
                      <w:iCs/>
                      <w:snapToGrid w:val="0"/>
                      <w:kern w:val="0"/>
                      <w:szCs w:val="18"/>
                    </w:rPr>
                    <w:t>0</w:t>
                  </w:r>
                </w:p>
              </w:tc>
              <w:tc>
                <w:tcPr>
                  <w:tcW w:w="886" w:type="pct"/>
                  <w:vAlign w:val="center"/>
                </w:tcPr>
                <w:p>
                  <w:pPr>
                    <w:snapToGrid w:val="0"/>
                    <w:spacing w:line="340" w:lineRule="exact"/>
                    <w:jc w:val="center"/>
                    <w:rPr>
                      <w:rFonts w:ascii="宋体" w:hAnsi="宋体" w:eastAsia="宋体" w:cs="宋体"/>
                      <w:iCs/>
                      <w:snapToGrid w:val="0"/>
                      <w:kern w:val="0"/>
                      <w:szCs w:val="18"/>
                    </w:rPr>
                  </w:pPr>
                  <w:r>
                    <w:rPr>
                      <w:rFonts w:hint="eastAsia" w:ascii="宋体" w:hAnsi="宋体" w:eastAsia="宋体" w:cs="宋体"/>
                      <w:iCs/>
                      <w:snapToGrid w:val="0"/>
                      <w:kern w:val="0"/>
                      <w:szCs w:val="18"/>
                    </w:rPr>
                    <w:t>0.2</w:t>
                  </w:r>
                </w:p>
              </w:tc>
              <w:tc>
                <w:tcPr>
                  <w:tcW w:w="715" w:type="pct"/>
                  <w:vAlign w:val="center"/>
                </w:tcPr>
                <w:p>
                  <w:pPr>
                    <w:snapToGrid w:val="0"/>
                    <w:spacing w:line="340" w:lineRule="exact"/>
                    <w:jc w:val="center"/>
                    <w:rPr>
                      <w:rFonts w:ascii="宋体" w:hAnsi="宋体" w:eastAsia="宋体" w:cs="宋体"/>
                      <w:iCs/>
                      <w:snapToGrid w:val="0"/>
                      <w:kern w:val="0"/>
                      <w:szCs w:val="18"/>
                    </w:rPr>
                  </w:pPr>
                  <w:r>
                    <w:rPr>
                      <w:rFonts w:hint="eastAsia" w:ascii="宋体" w:hAnsi="宋体" w:eastAsia="宋体" w:cs="宋体"/>
                      <w:iCs/>
                      <w:snapToGrid w:val="0"/>
                      <w:kern w:val="0"/>
                      <w:szCs w:val="18"/>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320" w:type="pct"/>
                  <w:vAlign w:val="center"/>
                </w:tcPr>
                <w:p>
                  <w:pPr>
                    <w:tabs>
                      <w:tab w:val="left" w:pos="3345"/>
                    </w:tabs>
                    <w:snapToGrid w:val="0"/>
                    <w:spacing w:line="340" w:lineRule="exact"/>
                    <w:jc w:val="center"/>
                    <w:rPr>
                      <w:rFonts w:ascii="宋体" w:hAnsi="宋体" w:eastAsia="宋体" w:cs="宋体"/>
                      <w:iCs/>
                      <w:snapToGrid w:val="0"/>
                      <w:kern w:val="0"/>
                      <w:szCs w:val="18"/>
                    </w:rPr>
                  </w:pPr>
                  <w:r>
                    <w:rPr>
                      <w:rFonts w:hint="eastAsia" w:ascii="宋体" w:hAnsi="宋体" w:eastAsia="宋体" w:cs="宋体"/>
                      <w:iCs/>
                      <w:snapToGrid w:val="0"/>
                      <w:kern w:val="0"/>
                      <w:szCs w:val="18"/>
                    </w:rPr>
                    <w:t>2</w:t>
                  </w:r>
                </w:p>
              </w:tc>
              <w:tc>
                <w:tcPr>
                  <w:tcW w:w="995" w:type="pct"/>
                  <w:vAlign w:val="center"/>
                </w:tcPr>
                <w:p>
                  <w:pPr>
                    <w:tabs>
                      <w:tab w:val="left" w:pos="3345"/>
                    </w:tabs>
                    <w:snapToGrid w:val="0"/>
                    <w:spacing w:line="340" w:lineRule="exact"/>
                    <w:jc w:val="center"/>
                    <w:rPr>
                      <w:rFonts w:ascii="宋体" w:hAnsi="宋体" w:eastAsia="宋体" w:cs="宋体"/>
                      <w:iCs/>
                      <w:snapToGrid w:val="0"/>
                      <w:kern w:val="0"/>
                      <w:szCs w:val="18"/>
                    </w:rPr>
                  </w:pPr>
                  <w:r>
                    <w:rPr>
                      <w:rFonts w:hint="eastAsia" w:ascii="宋体" w:hAnsi="宋体" w:eastAsia="宋体" w:cs="宋体"/>
                      <w:iCs/>
                      <w:snapToGrid w:val="0"/>
                      <w:kern w:val="0"/>
                      <w:szCs w:val="18"/>
                    </w:rPr>
                    <w:t>生产用水</w:t>
                  </w:r>
                </w:p>
              </w:tc>
              <w:tc>
                <w:tcPr>
                  <w:tcW w:w="590" w:type="pct"/>
                  <w:vAlign w:val="center"/>
                </w:tcPr>
                <w:p>
                  <w:pPr>
                    <w:tabs>
                      <w:tab w:val="left" w:pos="3345"/>
                    </w:tabs>
                    <w:snapToGrid w:val="0"/>
                    <w:spacing w:line="340" w:lineRule="exact"/>
                    <w:jc w:val="center"/>
                    <w:rPr>
                      <w:rFonts w:ascii="宋体" w:hAnsi="宋体" w:eastAsia="宋体" w:cs="宋体"/>
                      <w:iCs/>
                      <w:snapToGrid w:val="0"/>
                      <w:kern w:val="0"/>
                      <w:szCs w:val="18"/>
                    </w:rPr>
                  </w:pPr>
                  <w:r>
                    <w:rPr>
                      <w:rFonts w:hint="eastAsia" w:ascii="宋体" w:hAnsi="宋体" w:eastAsia="宋体" w:cs="宋体"/>
                      <w:iCs/>
                      <w:snapToGrid w:val="0"/>
                      <w:kern w:val="0"/>
                      <w:szCs w:val="18"/>
                    </w:rPr>
                    <w:t>3000</w:t>
                  </w:r>
                </w:p>
              </w:tc>
              <w:tc>
                <w:tcPr>
                  <w:tcW w:w="688" w:type="pct"/>
                  <w:vAlign w:val="center"/>
                </w:tcPr>
                <w:p>
                  <w:pPr>
                    <w:tabs>
                      <w:tab w:val="left" w:pos="3345"/>
                    </w:tabs>
                    <w:snapToGrid w:val="0"/>
                    <w:spacing w:line="340" w:lineRule="exact"/>
                    <w:jc w:val="center"/>
                    <w:rPr>
                      <w:rFonts w:ascii="宋体" w:hAnsi="宋体" w:eastAsia="宋体" w:cs="宋体"/>
                      <w:iCs/>
                      <w:snapToGrid w:val="0"/>
                      <w:kern w:val="0"/>
                      <w:szCs w:val="18"/>
                    </w:rPr>
                  </w:pPr>
                  <w:r>
                    <w:rPr>
                      <w:rFonts w:hint="eastAsia" w:ascii="宋体" w:hAnsi="宋体" w:eastAsia="宋体" w:cs="宋体"/>
                      <w:iCs/>
                      <w:snapToGrid w:val="0"/>
                      <w:kern w:val="0"/>
                      <w:szCs w:val="18"/>
                    </w:rPr>
                    <w:t>2296</w:t>
                  </w:r>
                </w:p>
              </w:tc>
              <w:tc>
                <w:tcPr>
                  <w:tcW w:w="802" w:type="pct"/>
                  <w:vAlign w:val="center"/>
                </w:tcPr>
                <w:p>
                  <w:pPr>
                    <w:tabs>
                      <w:tab w:val="left" w:pos="3345"/>
                    </w:tabs>
                    <w:snapToGrid w:val="0"/>
                    <w:spacing w:line="340" w:lineRule="exact"/>
                    <w:jc w:val="center"/>
                    <w:rPr>
                      <w:rFonts w:ascii="宋体" w:hAnsi="宋体" w:eastAsia="宋体" w:cs="宋体"/>
                      <w:iCs/>
                      <w:snapToGrid w:val="0"/>
                      <w:kern w:val="0"/>
                      <w:szCs w:val="18"/>
                    </w:rPr>
                  </w:pPr>
                  <w:r>
                    <w:rPr>
                      <w:rFonts w:hint="eastAsia" w:ascii="宋体" w:hAnsi="宋体" w:eastAsia="宋体" w:cs="宋体"/>
                      <w:iCs/>
                      <w:snapToGrid w:val="0"/>
                      <w:kern w:val="0"/>
                      <w:szCs w:val="18"/>
                    </w:rPr>
                    <w:t>721.28</w:t>
                  </w:r>
                </w:p>
              </w:tc>
              <w:tc>
                <w:tcPr>
                  <w:tcW w:w="886" w:type="pct"/>
                  <w:vAlign w:val="center"/>
                </w:tcPr>
                <w:p>
                  <w:pPr>
                    <w:snapToGrid w:val="0"/>
                    <w:spacing w:line="340" w:lineRule="exact"/>
                    <w:jc w:val="center"/>
                    <w:rPr>
                      <w:rFonts w:ascii="宋体" w:hAnsi="宋体" w:eastAsia="宋体" w:cs="宋体"/>
                      <w:iCs/>
                      <w:snapToGrid w:val="0"/>
                      <w:kern w:val="0"/>
                      <w:szCs w:val="18"/>
                    </w:rPr>
                  </w:pPr>
                  <w:r>
                    <w:rPr>
                      <w:rFonts w:hint="eastAsia" w:ascii="宋体" w:hAnsi="宋体" w:eastAsia="宋体" w:cs="宋体"/>
                      <w:iCs/>
                      <w:snapToGrid w:val="0"/>
                      <w:kern w:val="0"/>
                      <w:szCs w:val="18"/>
                    </w:rPr>
                    <w:t>2296</w:t>
                  </w:r>
                </w:p>
              </w:tc>
              <w:tc>
                <w:tcPr>
                  <w:tcW w:w="715" w:type="pct"/>
                  <w:vAlign w:val="center"/>
                </w:tcPr>
                <w:p>
                  <w:pPr>
                    <w:snapToGrid w:val="0"/>
                    <w:spacing w:line="340" w:lineRule="exact"/>
                    <w:jc w:val="center"/>
                    <w:rPr>
                      <w:rFonts w:ascii="宋体" w:hAnsi="宋体" w:eastAsia="宋体" w:cs="宋体"/>
                      <w:iCs/>
                      <w:snapToGrid w:val="0"/>
                      <w:kern w:val="0"/>
                      <w:szCs w:val="18"/>
                    </w:rPr>
                  </w:pPr>
                  <w:r>
                    <w:rPr>
                      <w:rFonts w:hint="eastAsia" w:ascii="宋体" w:hAnsi="宋体" w:eastAsia="宋体" w:cs="宋体"/>
                      <w:iCs/>
                      <w:snapToGrid w:val="0"/>
                      <w:kern w:val="0"/>
                      <w:szCs w:val="18"/>
                    </w:rPr>
                    <w:t>721.28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320" w:type="pct"/>
                  <w:vAlign w:val="center"/>
                </w:tcPr>
                <w:p>
                  <w:pPr>
                    <w:tabs>
                      <w:tab w:val="left" w:pos="3345"/>
                    </w:tabs>
                    <w:snapToGrid w:val="0"/>
                    <w:spacing w:line="340" w:lineRule="exact"/>
                    <w:jc w:val="center"/>
                    <w:rPr>
                      <w:rFonts w:ascii="宋体" w:hAnsi="宋体" w:eastAsia="宋体" w:cs="宋体"/>
                      <w:iCs/>
                      <w:snapToGrid w:val="0"/>
                      <w:kern w:val="0"/>
                      <w:szCs w:val="18"/>
                    </w:rPr>
                  </w:pPr>
                  <w:r>
                    <w:rPr>
                      <w:rFonts w:hint="eastAsia" w:ascii="宋体" w:hAnsi="宋体" w:eastAsia="宋体" w:cs="宋体"/>
                      <w:iCs/>
                      <w:snapToGrid w:val="0"/>
                      <w:kern w:val="0"/>
                      <w:szCs w:val="18"/>
                    </w:rPr>
                    <w:t>3</w:t>
                  </w:r>
                </w:p>
              </w:tc>
              <w:tc>
                <w:tcPr>
                  <w:tcW w:w="995" w:type="pct"/>
                  <w:vAlign w:val="center"/>
                </w:tcPr>
                <w:p>
                  <w:pPr>
                    <w:tabs>
                      <w:tab w:val="left" w:pos="3345"/>
                    </w:tabs>
                    <w:snapToGrid w:val="0"/>
                    <w:spacing w:line="340" w:lineRule="exact"/>
                    <w:jc w:val="center"/>
                    <w:rPr>
                      <w:rFonts w:ascii="宋体" w:hAnsi="宋体" w:eastAsia="宋体" w:cs="宋体"/>
                      <w:iCs/>
                      <w:snapToGrid w:val="0"/>
                      <w:kern w:val="0"/>
                      <w:szCs w:val="18"/>
                    </w:rPr>
                  </w:pPr>
                  <w:r>
                    <w:rPr>
                      <w:rFonts w:hint="eastAsia" w:ascii="宋体" w:hAnsi="宋体" w:eastAsia="宋体" w:cs="宋体"/>
                      <w:iCs/>
                      <w:snapToGrid w:val="0"/>
                      <w:kern w:val="0"/>
                      <w:szCs w:val="18"/>
                    </w:rPr>
                    <w:t>道路洒水降尘用水</w:t>
                  </w:r>
                </w:p>
              </w:tc>
              <w:tc>
                <w:tcPr>
                  <w:tcW w:w="590" w:type="pct"/>
                  <w:vAlign w:val="center"/>
                </w:tcPr>
                <w:p>
                  <w:pPr>
                    <w:tabs>
                      <w:tab w:val="left" w:pos="3345"/>
                    </w:tabs>
                    <w:snapToGrid w:val="0"/>
                    <w:spacing w:line="340" w:lineRule="exact"/>
                    <w:jc w:val="center"/>
                    <w:rPr>
                      <w:rFonts w:ascii="宋体" w:hAnsi="宋体" w:eastAsia="宋体" w:cs="宋体"/>
                      <w:iCs/>
                      <w:snapToGrid w:val="0"/>
                      <w:kern w:val="0"/>
                      <w:szCs w:val="18"/>
                    </w:rPr>
                  </w:pPr>
                  <w:r>
                    <w:rPr>
                      <w:rFonts w:hint="eastAsia" w:ascii="宋体" w:hAnsi="宋体" w:eastAsia="宋体" w:cs="宋体"/>
                      <w:iCs/>
                      <w:snapToGrid w:val="0"/>
                      <w:kern w:val="0"/>
                      <w:szCs w:val="18"/>
                    </w:rPr>
                    <w:t>2</w:t>
                  </w:r>
                </w:p>
              </w:tc>
              <w:tc>
                <w:tcPr>
                  <w:tcW w:w="688" w:type="pct"/>
                  <w:vAlign w:val="center"/>
                </w:tcPr>
                <w:p>
                  <w:pPr>
                    <w:tabs>
                      <w:tab w:val="left" w:pos="3345"/>
                    </w:tabs>
                    <w:snapToGrid w:val="0"/>
                    <w:spacing w:line="340" w:lineRule="exact"/>
                    <w:jc w:val="center"/>
                    <w:rPr>
                      <w:rFonts w:ascii="宋体" w:hAnsi="宋体" w:eastAsia="宋体" w:cs="宋体"/>
                      <w:iCs/>
                      <w:snapToGrid w:val="0"/>
                      <w:kern w:val="0"/>
                      <w:szCs w:val="18"/>
                    </w:rPr>
                  </w:pPr>
                  <w:r>
                    <w:rPr>
                      <w:rFonts w:hint="eastAsia" w:ascii="宋体" w:hAnsi="宋体" w:eastAsia="宋体" w:cs="宋体"/>
                      <w:iCs/>
                      <w:snapToGrid w:val="0"/>
                      <w:kern w:val="0"/>
                      <w:szCs w:val="18"/>
                    </w:rPr>
                    <w:t>2</w:t>
                  </w:r>
                </w:p>
              </w:tc>
              <w:tc>
                <w:tcPr>
                  <w:tcW w:w="802" w:type="pct"/>
                  <w:vAlign w:val="center"/>
                </w:tcPr>
                <w:p>
                  <w:pPr>
                    <w:tabs>
                      <w:tab w:val="left" w:pos="3345"/>
                    </w:tabs>
                    <w:snapToGrid w:val="0"/>
                    <w:spacing w:line="340" w:lineRule="exact"/>
                    <w:jc w:val="center"/>
                    <w:rPr>
                      <w:rFonts w:ascii="宋体" w:hAnsi="宋体" w:eastAsia="宋体" w:cs="宋体"/>
                      <w:iCs/>
                      <w:snapToGrid w:val="0"/>
                      <w:kern w:val="0"/>
                      <w:szCs w:val="18"/>
                    </w:rPr>
                  </w:pPr>
                  <w:r>
                    <w:rPr>
                      <w:rFonts w:hint="eastAsia" w:ascii="宋体" w:hAnsi="宋体" w:eastAsia="宋体" w:cs="宋体"/>
                      <w:iCs/>
                      <w:snapToGrid w:val="0"/>
                      <w:kern w:val="0"/>
                      <w:szCs w:val="18"/>
                    </w:rPr>
                    <w:t>0</w:t>
                  </w:r>
                </w:p>
              </w:tc>
              <w:tc>
                <w:tcPr>
                  <w:tcW w:w="886" w:type="pct"/>
                  <w:vAlign w:val="center"/>
                </w:tcPr>
                <w:p>
                  <w:pPr>
                    <w:tabs>
                      <w:tab w:val="left" w:pos="3345"/>
                    </w:tabs>
                    <w:snapToGrid w:val="0"/>
                    <w:spacing w:line="340" w:lineRule="exact"/>
                    <w:jc w:val="center"/>
                    <w:rPr>
                      <w:rFonts w:ascii="宋体" w:hAnsi="宋体" w:eastAsia="宋体" w:cs="宋体"/>
                      <w:iCs/>
                      <w:snapToGrid w:val="0"/>
                      <w:kern w:val="0"/>
                      <w:szCs w:val="18"/>
                    </w:rPr>
                  </w:pPr>
                  <w:r>
                    <w:rPr>
                      <w:rFonts w:hint="eastAsia" w:ascii="宋体" w:hAnsi="宋体" w:eastAsia="宋体" w:cs="宋体"/>
                      <w:iCs/>
                      <w:snapToGrid w:val="0"/>
                      <w:kern w:val="0"/>
                      <w:szCs w:val="18"/>
                    </w:rPr>
                    <w:t>2</w:t>
                  </w:r>
                </w:p>
              </w:tc>
              <w:tc>
                <w:tcPr>
                  <w:tcW w:w="715" w:type="pct"/>
                  <w:vAlign w:val="center"/>
                </w:tcPr>
                <w:p>
                  <w:pPr>
                    <w:tabs>
                      <w:tab w:val="left" w:pos="3345"/>
                    </w:tabs>
                    <w:snapToGrid w:val="0"/>
                    <w:spacing w:line="340" w:lineRule="exact"/>
                    <w:jc w:val="center"/>
                    <w:rPr>
                      <w:rFonts w:ascii="宋体" w:hAnsi="宋体" w:eastAsia="宋体" w:cs="宋体"/>
                      <w:iCs/>
                      <w:snapToGrid w:val="0"/>
                      <w:kern w:val="0"/>
                      <w:szCs w:val="18"/>
                    </w:rPr>
                  </w:pPr>
                  <w:r>
                    <w:rPr>
                      <w:rFonts w:hint="eastAsia" w:ascii="宋体" w:hAnsi="宋体" w:eastAsia="宋体" w:cs="宋体"/>
                      <w:iCs/>
                      <w:snapToGrid w:val="0"/>
                      <w:kern w:val="0"/>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320" w:type="pct"/>
                  <w:vAlign w:val="center"/>
                </w:tcPr>
                <w:p>
                  <w:pPr>
                    <w:tabs>
                      <w:tab w:val="left" w:pos="3345"/>
                    </w:tabs>
                    <w:snapToGrid w:val="0"/>
                    <w:spacing w:line="340" w:lineRule="exact"/>
                    <w:jc w:val="center"/>
                    <w:rPr>
                      <w:rFonts w:ascii="宋体" w:hAnsi="宋体" w:eastAsia="宋体" w:cs="宋体"/>
                      <w:iCs/>
                      <w:snapToGrid w:val="0"/>
                      <w:kern w:val="0"/>
                      <w:szCs w:val="18"/>
                    </w:rPr>
                  </w:pPr>
                  <w:r>
                    <w:rPr>
                      <w:rFonts w:hint="eastAsia" w:ascii="宋体" w:hAnsi="宋体" w:eastAsia="宋体" w:cs="宋体"/>
                      <w:iCs/>
                      <w:snapToGrid w:val="0"/>
                      <w:kern w:val="0"/>
                      <w:szCs w:val="18"/>
                    </w:rPr>
                    <w:t>4</w:t>
                  </w:r>
                </w:p>
              </w:tc>
              <w:tc>
                <w:tcPr>
                  <w:tcW w:w="995" w:type="pct"/>
                  <w:vAlign w:val="center"/>
                </w:tcPr>
                <w:p>
                  <w:pPr>
                    <w:tabs>
                      <w:tab w:val="left" w:pos="3345"/>
                    </w:tabs>
                    <w:snapToGrid w:val="0"/>
                    <w:spacing w:line="340" w:lineRule="exact"/>
                    <w:jc w:val="center"/>
                    <w:rPr>
                      <w:rFonts w:ascii="宋体" w:hAnsi="宋体" w:eastAsia="宋体" w:cs="宋体"/>
                      <w:iCs/>
                      <w:snapToGrid w:val="0"/>
                      <w:kern w:val="0"/>
                      <w:szCs w:val="18"/>
                    </w:rPr>
                  </w:pPr>
                  <w:r>
                    <w:rPr>
                      <w:rFonts w:hint="eastAsia" w:ascii="宋体" w:hAnsi="宋体" w:eastAsia="宋体" w:cs="宋体"/>
                      <w:iCs/>
                      <w:snapToGrid w:val="0"/>
                      <w:kern w:val="0"/>
                      <w:szCs w:val="18"/>
                    </w:rPr>
                    <w:t>车辆清洗用水</w:t>
                  </w:r>
                </w:p>
              </w:tc>
              <w:tc>
                <w:tcPr>
                  <w:tcW w:w="590" w:type="pct"/>
                  <w:vAlign w:val="center"/>
                </w:tcPr>
                <w:p>
                  <w:pPr>
                    <w:tabs>
                      <w:tab w:val="left" w:pos="3345"/>
                    </w:tabs>
                    <w:snapToGrid w:val="0"/>
                    <w:spacing w:line="340" w:lineRule="exact"/>
                    <w:jc w:val="center"/>
                    <w:rPr>
                      <w:rFonts w:ascii="宋体" w:hAnsi="宋体" w:eastAsia="宋体" w:cs="宋体"/>
                      <w:iCs/>
                      <w:snapToGrid w:val="0"/>
                      <w:kern w:val="0"/>
                      <w:szCs w:val="18"/>
                    </w:rPr>
                  </w:pPr>
                  <w:r>
                    <w:rPr>
                      <w:rFonts w:hint="eastAsia" w:ascii="宋体" w:hAnsi="宋体" w:eastAsia="宋体" w:cs="宋体"/>
                      <w:iCs/>
                      <w:snapToGrid w:val="0"/>
                      <w:kern w:val="0"/>
                      <w:szCs w:val="18"/>
                    </w:rPr>
                    <w:t>8</w:t>
                  </w:r>
                </w:p>
              </w:tc>
              <w:tc>
                <w:tcPr>
                  <w:tcW w:w="688" w:type="pct"/>
                  <w:vAlign w:val="center"/>
                </w:tcPr>
                <w:p>
                  <w:pPr>
                    <w:tabs>
                      <w:tab w:val="left" w:pos="3345"/>
                    </w:tabs>
                    <w:snapToGrid w:val="0"/>
                    <w:spacing w:line="340" w:lineRule="exact"/>
                    <w:jc w:val="center"/>
                    <w:rPr>
                      <w:rFonts w:ascii="宋体" w:hAnsi="宋体" w:eastAsia="宋体" w:cs="宋体"/>
                      <w:iCs/>
                      <w:snapToGrid w:val="0"/>
                      <w:kern w:val="0"/>
                      <w:szCs w:val="18"/>
                    </w:rPr>
                  </w:pPr>
                  <w:r>
                    <w:rPr>
                      <w:rFonts w:hint="eastAsia" w:ascii="宋体" w:hAnsi="宋体" w:eastAsia="宋体" w:cs="宋体"/>
                      <w:iCs/>
                      <w:snapToGrid w:val="0"/>
                      <w:kern w:val="0"/>
                      <w:szCs w:val="18"/>
                    </w:rPr>
                    <w:t>1.6</w:t>
                  </w:r>
                </w:p>
              </w:tc>
              <w:tc>
                <w:tcPr>
                  <w:tcW w:w="802" w:type="pct"/>
                  <w:vAlign w:val="center"/>
                </w:tcPr>
                <w:p>
                  <w:pPr>
                    <w:tabs>
                      <w:tab w:val="left" w:pos="3345"/>
                    </w:tabs>
                    <w:snapToGrid w:val="0"/>
                    <w:spacing w:line="340" w:lineRule="exact"/>
                    <w:jc w:val="center"/>
                    <w:rPr>
                      <w:rFonts w:ascii="宋体" w:hAnsi="宋体" w:eastAsia="宋体" w:cs="宋体"/>
                      <w:iCs/>
                      <w:snapToGrid w:val="0"/>
                      <w:kern w:val="0"/>
                      <w:szCs w:val="18"/>
                    </w:rPr>
                  </w:pPr>
                  <w:r>
                    <w:rPr>
                      <w:rFonts w:hint="eastAsia" w:ascii="宋体" w:hAnsi="宋体" w:eastAsia="宋体" w:cs="宋体"/>
                      <w:iCs/>
                      <w:snapToGrid w:val="0"/>
                      <w:kern w:val="0"/>
                      <w:szCs w:val="18"/>
                    </w:rPr>
                    <w:t>6.4</w:t>
                  </w:r>
                </w:p>
              </w:tc>
              <w:tc>
                <w:tcPr>
                  <w:tcW w:w="886" w:type="pct"/>
                  <w:vAlign w:val="center"/>
                </w:tcPr>
                <w:p>
                  <w:pPr>
                    <w:tabs>
                      <w:tab w:val="left" w:pos="3345"/>
                    </w:tabs>
                    <w:snapToGrid w:val="0"/>
                    <w:spacing w:line="340" w:lineRule="exact"/>
                    <w:jc w:val="center"/>
                    <w:rPr>
                      <w:rFonts w:ascii="宋体" w:hAnsi="宋体" w:eastAsia="宋体" w:cs="宋体"/>
                      <w:iCs/>
                      <w:snapToGrid w:val="0"/>
                      <w:kern w:val="0"/>
                      <w:szCs w:val="18"/>
                    </w:rPr>
                  </w:pPr>
                  <w:r>
                    <w:rPr>
                      <w:rFonts w:hint="eastAsia" w:ascii="宋体" w:hAnsi="宋体" w:eastAsia="宋体" w:cs="宋体"/>
                      <w:iCs/>
                      <w:snapToGrid w:val="0"/>
                      <w:kern w:val="0"/>
                      <w:szCs w:val="18"/>
                    </w:rPr>
                    <w:t>1.6</w:t>
                  </w:r>
                </w:p>
              </w:tc>
              <w:tc>
                <w:tcPr>
                  <w:tcW w:w="715" w:type="pct"/>
                  <w:vAlign w:val="center"/>
                </w:tcPr>
                <w:p>
                  <w:pPr>
                    <w:tabs>
                      <w:tab w:val="left" w:pos="3345"/>
                    </w:tabs>
                    <w:snapToGrid w:val="0"/>
                    <w:spacing w:line="340" w:lineRule="exact"/>
                    <w:jc w:val="center"/>
                    <w:rPr>
                      <w:rFonts w:ascii="宋体" w:hAnsi="宋体" w:eastAsia="宋体" w:cs="宋体"/>
                      <w:iCs/>
                      <w:snapToGrid w:val="0"/>
                      <w:kern w:val="0"/>
                      <w:szCs w:val="18"/>
                    </w:rPr>
                  </w:pPr>
                  <w:r>
                    <w:rPr>
                      <w:rFonts w:hint="eastAsia" w:ascii="宋体" w:hAnsi="宋体" w:eastAsia="宋体" w:cs="宋体"/>
                      <w:iCs/>
                      <w:snapToGrid w:val="0"/>
                      <w:kern w:val="0"/>
                      <w:szCs w:val="18"/>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320" w:type="pct"/>
                  <w:vAlign w:val="center"/>
                </w:tcPr>
                <w:p>
                  <w:pPr>
                    <w:tabs>
                      <w:tab w:val="left" w:pos="3345"/>
                    </w:tabs>
                    <w:snapToGrid w:val="0"/>
                    <w:spacing w:line="340" w:lineRule="exact"/>
                    <w:jc w:val="center"/>
                    <w:rPr>
                      <w:rFonts w:ascii="宋体" w:hAnsi="宋体" w:eastAsia="宋体" w:cs="宋体"/>
                      <w:iCs/>
                      <w:snapToGrid w:val="0"/>
                      <w:kern w:val="0"/>
                      <w:szCs w:val="18"/>
                    </w:rPr>
                  </w:pPr>
                  <w:r>
                    <w:rPr>
                      <w:rFonts w:hint="eastAsia" w:ascii="宋体" w:hAnsi="宋体" w:eastAsia="宋体" w:cs="宋体"/>
                      <w:iCs/>
                      <w:snapToGrid w:val="0"/>
                      <w:kern w:val="0"/>
                      <w:szCs w:val="18"/>
                    </w:rPr>
                    <w:t>5</w:t>
                  </w:r>
                </w:p>
              </w:tc>
              <w:tc>
                <w:tcPr>
                  <w:tcW w:w="995" w:type="pct"/>
                  <w:vAlign w:val="center"/>
                </w:tcPr>
                <w:p>
                  <w:pPr>
                    <w:tabs>
                      <w:tab w:val="left" w:pos="3345"/>
                    </w:tabs>
                    <w:snapToGrid w:val="0"/>
                    <w:spacing w:line="340" w:lineRule="exact"/>
                    <w:jc w:val="center"/>
                    <w:rPr>
                      <w:rFonts w:ascii="宋体" w:hAnsi="宋体" w:eastAsia="宋体" w:cs="宋体"/>
                      <w:iCs/>
                      <w:snapToGrid w:val="0"/>
                      <w:kern w:val="0"/>
                      <w:szCs w:val="18"/>
                    </w:rPr>
                  </w:pPr>
                  <w:r>
                    <w:rPr>
                      <w:rFonts w:hint="eastAsia" w:ascii="宋体" w:hAnsi="宋体" w:eastAsia="宋体" w:cs="宋体"/>
                      <w:iCs/>
                      <w:snapToGrid w:val="0"/>
                      <w:kern w:val="0"/>
                      <w:szCs w:val="18"/>
                    </w:rPr>
                    <w:t>绿化用水</w:t>
                  </w:r>
                </w:p>
              </w:tc>
              <w:tc>
                <w:tcPr>
                  <w:tcW w:w="590" w:type="pct"/>
                  <w:vAlign w:val="center"/>
                </w:tcPr>
                <w:p>
                  <w:pPr>
                    <w:tabs>
                      <w:tab w:val="left" w:pos="3345"/>
                    </w:tabs>
                    <w:snapToGrid w:val="0"/>
                    <w:spacing w:line="340" w:lineRule="exact"/>
                    <w:jc w:val="center"/>
                    <w:rPr>
                      <w:rFonts w:ascii="宋体" w:hAnsi="宋体" w:eastAsia="宋体" w:cs="宋体"/>
                      <w:iCs/>
                      <w:snapToGrid w:val="0"/>
                      <w:kern w:val="0"/>
                      <w:szCs w:val="18"/>
                    </w:rPr>
                  </w:pPr>
                  <w:r>
                    <w:rPr>
                      <w:rFonts w:hint="eastAsia" w:ascii="宋体" w:hAnsi="宋体" w:eastAsia="宋体" w:cs="宋体"/>
                      <w:iCs/>
                      <w:snapToGrid w:val="0"/>
                      <w:kern w:val="0"/>
                      <w:szCs w:val="18"/>
                    </w:rPr>
                    <w:t>0.6</w:t>
                  </w:r>
                </w:p>
              </w:tc>
              <w:tc>
                <w:tcPr>
                  <w:tcW w:w="688" w:type="pct"/>
                  <w:vAlign w:val="center"/>
                </w:tcPr>
                <w:p>
                  <w:pPr>
                    <w:tabs>
                      <w:tab w:val="left" w:pos="3345"/>
                    </w:tabs>
                    <w:snapToGrid w:val="0"/>
                    <w:spacing w:line="340" w:lineRule="exact"/>
                    <w:jc w:val="center"/>
                    <w:rPr>
                      <w:rFonts w:ascii="宋体" w:hAnsi="宋体" w:eastAsia="宋体" w:cs="宋体"/>
                      <w:iCs/>
                      <w:snapToGrid w:val="0"/>
                      <w:kern w:val="0"/>
                      <w:szCs w:val="18"/>
                    </w:rPr>
                  </w:pPr>
                  <w:r>
                    <w:rPr>
                      <w:rFonts w:hint="eastAsia" w:ascii="宋体" w:hAnsi="宋体" w:eastAsia="宋体" w:cs="宋体"/>
                      <w:iCs/>
                      <w:snapToGrid w:val="0"/>
                      <w:kern w:val="0"/>
                      <w:szCs w:val="18"/>
                    </w:rPr>
                    <w:t>0.6</w:t>
                  </w:r>
                </w:p>
              </w:tc>
              <w:tc>
                <w:tcPr>
                  <w:tcW w:w="802" w:type="pct"/>
                  <w:vAlign w:val="center"/>
                </w:tcPr>
                <w:p>
                  <w:pPr>
                    <w:tabs>
                      <w:tab w:val="left" w:pos="3345"/>
                    </w:tabs>
                    <w:snapToGrid w:val="0"/>
                    <w:spacing w:line="340" w:lineRule="exact"/>
                    <w:jc w:val="center"/>
                    <w:rPr>
                      <w:rFonts w:ascii="宋体" w:hAnsi="宋体" w:eastAsia="宋体" w:cs="宋体"/>
                      <w:iCs/>
                      <w:snapToGrid w:val="0"/>
                      <w:kern w:val="0"/>
                      <w:szCs w:val="18"/>
                    </w:rPr>
                  </w:pPr>
                  <w:r>
                    <w:rPr>
                      <w:rFonts w:hint="eastAsia" w:ascii="宋体" w:hAnsi="宋体" w:eastAsia="宋体" w:cs="宋体"/>
                      <w:iCs/>
                      <w:snapToGrid w:val="0"/>
                      <w:kern w:val="0"/>
                      <w:szCs w:val="18"/>
                    </w:rPr>
                    <w:t>0</w:t>
                  </w:r>
                </w:p>
              </w:tc>
              <w:tc>
                <w:tcPr>
                  <w:tcW w:w="886" w:type="pct"/>
                  <w:vAlign w:val="center"/>
                </w:tcPr>
                <w:p>
                  <w:pPr>
                    <w:tabs>
                      <w:tab w:val="left" w:pos="3345"/>
                    </w:tabs>
                    <w:snapToGrid w:val="0"/>
                    <w:spacing w:line="340" w:lineRule="exact"/>
                    <w:jc w:val="center"/>
                    <w:rPr>
                      <w:rFonts w:ascii="宋体" w:hAnsi="宋体" w:eastAsia="宋体" w:cs="宋体"/>
                      <w:iCs/>
                      <w:snapToGrid w:val="0"/>
                      <w:kern w:val="0"/>
                      <w:szCs w:val="18"/>
                    </w:rPr>
                  </w:pPr>
                  <w:r>
                    <w:rPr>
                      <w:rFonts w:hint="eastAsia" w:ascii="宋体" w:hAnsi="宋体" w:eastAsia="宋体" w:cs="宋体"/>
                      <w:iCs/>
                      <w:snapToGrid w:val="0"/>
                      <w:kern w:val="0"/>
                      <w:szCs w:val="18"/>
                    </w:rPr>
                    <w:t>0.6</w:t>
                  </w:r>
                </w:p>
              </w:tc>
              <w:tc>
                <w:tcPr>
                  <w:tcW w:w="715" w:type="pct"/>
                  <w:vAlign w:val="center"/>
                </w:tcPr>
                <w:p>
                  <w:pPr>
                    <w:tabs>
                      <w:tab w:val="left" w:pos="3345"/>
                    </w:tabs>
                    <w:snapToGrid w:val="0"/>
                    <w:spacing w:line="340" w:lineRule="exact"/>
                    <w:jc w:val="center"/>
                    <w:rPr>
                      <w:rFonts w:ascii="宋体" w:hAnsi="宋体" w:eastAsia="宋体" w:cs="宋体"/>
                      <w:iCs/>
                      <w:snapToGrid w:val="0"/>
                      <w:kern w:val="0"/>
                      <w:szCs w:val="18"/>
                    </w:rPr>
                  </w:pPr>
                  <w:r>
                    <w:rPr>
                      <w:rFonts w:hint="eastAsia" w:ascii="宋体" w:hAnsi="宋体" w:eastAsia="宋体" w:cs="宋体"/>
                      <w:iCs/>
                      <w:snapToGrid w:val="0"/>
                      <w:kern w:val="0"/>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0" w:type="pct"/>
                  <w:vAlign w:val="center"/>
                </w:tcPr>
                <w:p>
                  <w:pPr>
                    <w:tabs>
                      <w:tab w:val="left" w:pos="3345"/>
                    </w:tabs>
                    <w:snapToGrid w:val="0"/>
                    <w:spacing w:line="340" w:lineRule="exact"/>
                    <w:jc w:val="center"/>
                    <w:rPr>
                      <w:rFonts w:ascii="宋体" w:hAnsi="宋体" w:eastAsia="宋体" w:cs="宋体"/>
                      <w:iCs/>
                      <w:snapToGrid w:val="0"/>
                      <w:kern w:val="0"/>
                      <w:szCs w:val="18"/>
                    </w:rPr>
                  </w:pPr>
                  <w:r>
                    <w:rPr>
                      <w:rFonts w:hint="eastAsia" w:ascii="宋体" w:hAnsi="宋体" w:eastAsia="宋体" w:cs="宋体"/>
                      <w:iCs/>
                      <w:snapToGrid w:val="0"/>
                      <w:kern w:val="0"/>
                      <w:szCs w:val="18"/>
                    </w:rPr>
                    <w:t>6</w:t>
                  </w:r>
                </w:p>
              </w:tc>
              <w:tc>
                <w:tcPr>
                  <w:tcW w:w="995" w:type="pct"/>
                  <w:vAlign w:val="center"/>
                </w:tcPr>
                <w:p>
                  <w:pPr>
                    <w:tabs>
                      <w:tab w:val="left" w:pos="3345"/>
                    </w:tabs>
                    <w:snapToGrid w:val="0"/>
                    <w:spacing w:line="340" w:lineRule="exact"/>
                    <w:jc w:val="center"/>
                    <w:rPr>
                      <w:rFonts w:ascii="宋体" w:hAnsi="宋体" w:eastAsia="宋体" w:cs="宋体"/>
                      <w:iCs/>
                      <w:snapToGrid w:val="0"/>
                      <w:kern w:val="0"/>
                      <w:szCs w:val="18"/>
                    </w:rPr>
                  </w:pPr>
                  <w:r>
                    <w:rPr>
                      <w:rFonts w:hint="eastAsia" w:ascii="宋体" w:hAnsi="宋体" w:eastAsia="宋体" w:cs="宋体"/>
                      <w:iCs/>
                      <w:snapToGrid w:val="0"/>
                      <w:kern w:val="0"/>
                      <w:szCs w:val="18"/>
                    </w:rPr>
                    <w:t>初期雨水</w:t>
                  </w:r>
                </w:p>
                <w:p>
                  <w:pPr>
                    <w:tabs>
                      <w:tab w:val="left" w:pos="3345"/>
                    </w:tabs>
                    <w:snapToGrid w:val="0"/>
                    <w:spacing w:line="340" w:lineRule="exact"/>
                    <w:jc w:val="center"/>
                    <w:rPr>
                      <w:rFonts w:ascii="宋体" w:hAnsi="宋体" w:eastAsia="宋体" w:cs="宋体"/>
                      <w:iCs/>
                      <w:snapToGrid w:val="0"/>
                      <w:kern w:val="0"/>
                      <w:szCs w:val="18"/>
                    </w:rPr>
                  </w:pPr>
                  <w:r>
                    <w:rPr>
                      <w:rFonts w:hint="eastAsia" w:ascii="宋体" w:hAnsi="宋体" w:eastAsia="宋体" w:cs="宋体"/>
                      <w:iCs/>
                      <w:snapToGrid w:val="0"/>
                      <w:kern w:val="0"/>
                      <w:szCs w:val="18"/>
                    </w:rPr>
                    <w:t>（产生量/次）</w:t>
                  </w:r>
                </w:p>
              </w:tc>
              <w:tc>
                <w:tcPr>
                  <w:tcW w:w="590" w:type="pct"/>
                  <w:vAlign w:val="center"/>
                </w:tcPr>
                <w:p>
                  <w:pPr>
                    <w:tabs>
                      <w:tab w:val="left" w:pos="3345"/>
                    </w:tabs>
                    <w:snapToGrid w:val="0"/>
                    <w:spacing w:line="340" w:lineRule="exact"/>
                    <w:jc w:val="center"/>
                    <w:rPr>
                      <w:rFonts w:ascii="宋体" w:hAnsi="宋体" w:eastAsia="宋体" w:cs="宋体"/>
                      <w:iCs/>
                      <w:snapToGrid w:val="0"/>
                      <w:kern w:val="0"/>
                      <w:szCs w:val="18"/>
                    </w:rPr>
                  </w:pPr>
                  <w:r>
                    <w:rPr>
                      <w:rFonts w:hint="eastAsia" w:ascii="宋体" w:hAnsi="宋体" w:eastAsia="宋体" w:cs="宋体"/>
                      <w:spacing w:val="-1"/>
                    </w:rPr>
                    <w:t>77.93</w:t>
                  </w:r>
                </w:p>
              </w:tc>
              <w:tc>
                <w:tcPr>
                  <w:tcW w:w="688" w:type="pct"/>
                  <w:vAlign w:val="center"/>
                </w:tcPr>
                <w:p>
                  <w:pPr>
                    <w:tabs>
                      <w:tab w:val="left" w:pos="3345"/>
                    </w:tabs>
                    <w:snapToGrid w:val="0"/>
                    <w:spacing w:line="340" w:lineRule="exact"/>
                    <w:jc w:val="center"/>
                    <w:rPr>
                      <w:rFonts w:ascii="宋体" w:hAnsi="宋体" w:eastAsia="宋体" w:cs="宋体"/>
                      <w:iCs/>
                      <w:snapToGrid w:val="0"/>
                      <w:kern w:val="0"/>
                      <w:szCs w:val="18"/>
                    </w:rPr>
                  </w:pPr>
                  <w:r>
                    <w:rPr>
                      <w:rFonts w:hint="eastAsia" w:ascii="宋体" w:hAnsi="宋体" w:eastAsia="宋体" w:cs="宋体"/>
                      <w:iCs/>
                      <w:snapToGrid w:val="0"/>
                      <w:kern w:val="0"/>
                      <w:szCs w:val="18"/>
                    </w:rPr>
                    <w:t>0</w:t>
                  </w:r>
                </w:p>
              </w:tc>
              <w:tc>
                <w:tcPr>
                  <w:tcW w:w="802" w:type="pct"/>
                  <w:vAlign w:val="center"/>
                </w:tcPr>
                <w:p>
                  <w:pPr>
                    <w:tabs>
                      <w:tab w:val="left" w:pos="3345"/>
                    </w:tabs>
                    <w:snapToGrid w:val="0"/>
                    <w:spacing w:line="340" w:lineRule="exact"/>
                    <w:jc w:val="center"/>
                    <w:rPr>
                      <w:rFonts w:ascii="宋体" w:hAnsi="宋体" w:eastAsia="宋体" w:cs="宋体"/>
                      <w:iCs/>
                      <w:snapToGrid w:val="0"/>
                      <w:kern w:val="0"/>
                      <w:szCs w:val="18"/>
                    </w:rPr>
                  </w:pPr>
                  <w:r>
                    <w:rPr>
                      <w:rFonts w:hint="eastAsia" w:ascii="宋体" w:hAnsi="宋体" w:eastAsia="宋体" w:cs="宋体"/>
                      <w:iCs/>
                      <w:snapToGrid w:val="0"/>
                      <w:kern w:val="0"/>
                      <w:szCs w:val="18"/>
                    </w:rPr>
                    <w:t>77.93</w:t>
                  </w:r>
                </w:p>
              </w:tc>
              <w:tc>
                <w:tcPr>
                  <w:tcW w:w="886" w:type="pct"/>
                  <w:vAlign w:val="center"/>
                </w:tcPr>
                <w:p>
                  <w:pPr>
                    <w:tabs>
                      <w:tab w:val="left" w:pos="3345"/>
                    </w:tabs>
                    <w:snapToGrid w:val="0"/>
                    <w:spacing w:line="340" w:lineRule="exact"/>
                    <w:jc w:val="center"/>
                    <w:rPr>
                      <w:rFonts w:ascii="宋体" w:hAnsi="宋体" w:eastAsia="宋体" w:cs="宋体"/>
                      <w:iCs/>
                      <w:snapToGrid w:val="0"/>
                      <w:kern w:val="0"/>
                      <w:szCs w:val="18"/>
                    </w:rPr>
                  </w:pPr>
                  <w:r>
                    <w:rPr>
                      <w:rFonts w:hint="eastAsia" w:ascii="宋体" w:hAnsi="宋体" w:eastAsia="宋体" w:cs="宋体"/>
                      <w:iCs/>
                      <w:snapToGrid w:val="0"/>
                      <w:kern w:val="0"/>
                      <w:szCs w:val="18"/>
                    </w:rPr>
                    <w:t>0</w:t>
                  </w:r>
                </w:p>
              </w:tc>
              <w:tc>
                <w:tcPr>
                  <w:tcW w:w="715" w:type="pct"/>
                  <w:vAlign w:val="center"/>
                </w:tcPr>
                <w:p>
                  <w:pPr>
                    <w:tabs>
                      <w:tab w:val="left" w:pos="3345"/>
                    </w:tabs>
                    <w:snapToGrid w:val="0"/>
                    <w:spacing w:line="340" w:lineRule="exact"/>
                    <w:jc w:val="center"/>
                    <w:rPr>
                      <w:rFonts w:ascii="宋体" w:hAnsi="宋体" w:eastAsia="宋体" w:cs="宋体"/>
                      <w:iCs/>
                      <w:snapToGrid w:val="0"/>
                      <w:kern w:val="0"/>
                      <w:szCs w:val="18"/>
                    </w:rPr>
                  </w:pPr>
                  <w:r>
                    <w:rPr>
                      <w:rFonts w:hint="eastAsia" w:ascii="宋体" w:hAnsi="宋体" w:eastAsia="宋体" w:cs="宋体"/>
                      <w:iCs/>
                      <w:snapToGrid w:val="0"/>
                      <w:kern w:val="0"/>
                      <w:szCs w:val="18"/>
                    </w:rPr>
                    <w:t>77.93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0" w:type="pct"/>
                  <w:vAlign w:val="center"/>
                </w:tcPr>
                <w:p>
                  <w:pPr>
                    <w:tabs>
                      <w:tab w:val="left" w:pos="3345"/>
                    </w:tabs>
                    <w:snapToGrid w:val="0"/>
                    <w:spacing w:line="340" w:lineRule="exact"/>
                    <w:jc w:val="center"/>
                    <w:rPr>
                      <w:rFonts w:ascii="宋体" w:hAnsi="宋体" w:eastAsia="宋体" w:cs="宋体"/>
                      <w:iCs/>
                      <w:snapToGrid w:val="0"/>
                      <w:kern w:val="0"/>
                      <w:szCs w:val="18"/>
                    </w:rPr>
                  </w:pPr>
                  <w:r>
                    <w:rPr>
                      <w:rFonts w:hint="eastAsia" w:ascii="宋体" w:hAnsi="宋体" w:eastAsia="宋体" w:cs="宋体"/>
                      <w:iCs/>
                      <w:snapToGrid w:val="0"/>
                      <w:kern w:val="0"/>
                      <w:szCs w:val="18"/>
                    </w:rPr>
                    <w:t>7</w:t>
                  </w:r>
                </w:p>
              </w:tc>
              <w:tc>
                <w:tcPr>
                  <w:tcW w:w="995" w:type="pct"/>
                  <w:vAlign w:val="center"/>
                </w:tcPr>
                <w:p>
                  <w:pPr>
                    <w:tabs>
                      <w:tab w:val="left" w:pos="3345"/>
                    </w:tabs>
                    <w:snapToGrid w:val="0"/>
                    <w:spacing w:line="340" w:lineRule="exact"/>
                    <w:jc w:val="center"/>
                    <w:rPr>
                      <w:rFonts w:ascii="宋体" w:hAnsi="宋体" w:eastAsia="宋体" w:cs="宋体"/>
                      <w:iCs/>
                      <w:snapToGrid w:val="0"/>
                      <w:kern w:val="0"/>
                      <w:szCs w:val="18"/>
                    </w:rPr>
                  </w:pPr>
                  <w:r>
                    <w:rPr>
                      <w:rFonts w:hint="eastAsia" w:ascii="宋体" w:hAnsi="宋体" w:eastAsia="宋体" w:cs="宋体"/>
                      <w:iCs/>
                      <w:snapToGrid w:val="0"/>
                      <w:kern w:val="0"/>
                      <w:szCs w:val="18"/>
                    </w:rPr>
                    <w:t>合计</w:t>
                  </w:r>
                </w:p>
              </w:tc>
              <w:tc>
                <w:tcPr>
                  <w:tcW w:w="590" w:type="pct"/>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3089.53</w:t>
                  </w:r>
                </w:p>
              </w:tc>
              <w:tc>
                <w:tcPr>
                  <w:tcW w:w="688" w:type="pct"/>
                  <w:vAlign w:val="center"/>
                </w:tcPr>
                <w:p>
                  <w:pPr>
                    <w:widowControl/>
                    <w:jc w:val="center"/>
                    <w:textAlignment w:val="center"/>
                    <w:rPr>
                      <w:rFonts w:ascii="宋体" w:hAnsi="宋体" w:eastAsia="宋体" w:cs="宋体"/>
                      <w:iCs/>
                      <w:snapToGrid w:val="0"/>
                      <w:kern w:val="0"/>
                      <w:szCs w:val="18"/>
                    </w:rPr>
                  </w:pPr>
                  <w:r>
                    <w:rPr>
                      <w:rFonts w:hint="eastAsia" w:ascii="宋体" w:hAnsi="宋体" w:eastAsia="宋体" w:cs="宋体"/>
                      <w:iCs/>
                      <w:snapToGrid w:val="0"/>
                      <w:kern w:val="0"/>
                      <w:szCs w:val="18"/>
                    </w:rPr>
                    <w:t>2301.2</w:t>
                  </w:r>
                </w:p>
              </w:tc>
              <w:tc>
                <w:tcPr>
                  <w:tcW w:w="802" w:type="pct"/>
                  <w:vAlign w:val="center"/>
                </w:tcPr>
                <w:p>
                  <w:pPr>
                    <w:widowControl/>
                    <w:jc w:val="center"/>
                    <w:textAlignment w:val="center"/>
                    <w:rPr>
                      <w:rFonts w:ascii="宋体" w:hAnsi="宋体" w:eastAsia="宋体" w:cs="宋体"/>
                      <w:iCs/>
                      <w:snapToGrid w:val="0"/>
                      <w:kern w:val="0"/>
                      <w:szCs w:val="18"/>
                    </w:rPr>
                  </w:pPr>
                  <w:r>
                    <w:rPr>
                      <w:rFonts w:hint="eastAsia" w:ascii="宋体" w:hAnsi="宋体" w:eastAsia="宋体" w:cs="宋体"/>
                      <w:iCs/>
                      <w:snapToGrid w:val="0"/>
                      <w:kern w:val="0"/>
                      <w:szCs w:val="18"/>
                    </w:rPr>
                    <w:t>805.61</w:t>
                  </w:r>
                </w:p>
              </w:tc>
              <w:tc>
                <w:tcPr>
                  <w:tcW w:w="886" w:type="pct"/>
                  <w:vAlign w:val="center"/>
                </w:tcPr>
                <w:p>
                  <w:pPr>
                    <w:widowControl/>
                    <w:jc w:val="center"/>
                    <w:textAlignment w:val="center"/>
                    <w:rPr>
                      <w:rFonts w:ascii="宋体" w:hAnsi="宋体" w:eastAsia="宋体" w:cs="宋体"/>
                      <w:iCs/>
                      <w:snapToGrid w:val="0"/>
                      <w:kern w:val="0"/>
                      <w:szCs w:val="18"/>
                    </w:rPr>
                  </w:pPr>
                  <w:r>
                    <w:rPr>
                      <w:rFonts w:hint="eastAsia" w:ascii="宋体" w:hAnsi="宋体" w:eastAsia="宋体" w:cs="宋体"/>
                      <w:iCs/>
                      <w:snapToGrid w:val="0"/>
                      <w:kern w:val="0"/>
                      <w:szCs w:val="18"/>
                    </w:rPr>
                    <w:t>2300.4</w:t>
                  </w:r>
                </w:p>
              </w:tc>
              <w:tc>
                <w:tcPr>
                  <w:tcW w:w="715" w:type="pct"/>
                  <w:vAlign w:val="center"/>
                </w:tcPr>
                <w:p>
                  <w:pPr>
                    <w:widowControl/>
                    <w:jc w:val="center"/>
                    <w:textAlignment w:val="center"/>
                    <w:rPr>
                      <w:rFonts w:ascii="宋体" w:hAnsi="宋体" w:eastAsia="宋体" w:cs="宋体"/>
                      <w:iCs/>
                      <w:snapToGrid w:val="0"/>
                      <w:kern w:val="0"/>
                      <w:szCs w:val="18"/>
                    </w:rPr>
                  </w:pPr>
                  <w:r>
                    <w:rPr>
                      <w:rFonts w:hint="eastAsia" w:ascii="宋体" w:hAnsi="宋体" w:eastAsia="宋体" w:cs="宋体"/>
                      <w:iCs/>
                      <w:snapToGrid w:val="0"/>
                      <w:kern w:val="0"/>
                      <w:szCs w:val="18"/>
                    </w:rPr>
                    <w:t>806.41</w:t>
                  </w:r>
                </w:p>
              </w:tc>
            </w:tr>
            <w:bookmarkEnd w:id="291"/>
          </w:tbl>
          <w:p>
            <w:pPr>
              <w:spacing w:line="360" w:lineRule="auto"/>
              <w:ind w:firstLine="482" w:firstLineChars="200"/>
              <w:rPr>
                <w:rFonts w:ascii="Times New Roman" w:hAnsi="Times New Roman" w:eastAsia="宋体" w:cs="Times New Roman"/>
                <w:b/>
                <w:bCs/>
                <w:sz w:val="24"/>
              </w:rPr>
            </w:pPr>
          </w:p>
          <w:p>
            <w:pPr>
              <w:spacing w:line="360" w:lineRule="auto"/>
              <w:ind w:firstLine="482" w:firstLineChars="200"/>
              <w:rPr>
                <w:rFonts w:ascii="Times New Roman" w:hAnsi="Times New Roman" w:eastAsia="宋体" w:cs="Times New Roman"/>
                <w:b/>
                <w:bCs/>
                <w:sz w:val="24"/>
              </w:rPr>
            </w:pPr>
            <w:r>
              <w:rPr>
                <w:rFonts w:ascii="Times New Roman" w:hAnsi="Times New Roman" w:eastAsia="宋体" w:cs="Times New Roman"/>
                <w:b/>
                <w:bCs/>
                <w:sz w:val="24"/>
              </w:rPr>
              <w:t>项目水平衡图如下：</w:t>
            </w:r>
          </w:p>
          <w:p>
            <w:pPr>
              <w:spacing w:line="360" w:lineRule="auto"/>
              <w:rPr>
                <w:rFonts w:ascii="Times New Roman" w:hAnsi="Times New Roman" w:eastAsia="宋体" w:cs="Times New Roman"/>
                <w:b/>
                <w:bCs/>
                <w:sz w:val="24"/>
              </w:rPr>
            </w:pPr>
            <w:r>
              <w:rPr>
                <w:rFonts w:ascii="Times New Roman" w:hAnsi="Times New Roman" w:eastAsia="宋体" w:cs="Times New Roman"/>
                <w:b/>
                <w:bCs/>
                <w:sz w:val="24"/>
              </w:rPr>
              <w:drawing>
                <wp:inline distT="0" distB="0" distL="114300" distR="114300">
                  <wp:extent cx="4979670" cy="2423160"/>
                  <wp:effectExtent l="0" t="0" r="0" b="0"/>
                  <wp:docPr id="4" name="ECB019B1-382A-4266-B25C-5B523AA43C14-1"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B019B1-382A-4266-B25C-5B523AA43C14-1" descr="wps"/>
                          <pic:cNvPicPr>
                            <a:picLocks noChangeAspect="1"/>
                          </pic:cNvPicPr>
                        </pic:nvPicPr>
                        <pic:blipFill>
                          <a:blip r:embed="rId6"/>
                          <a:stretch>
                            <a:fillRect/>
                          </a:stretch>
                        </pic:blipFill>
                        <pic:spPr>
                          <a:xfrm>
                            <a:off x="0" y="0"/>
                            <a:ext cx="4979670" cy="2423160"/>
                          </a:xfrm>
                          <a:prstGeom prst="rect">
                            <a:avLst/>
                          </a:prstGeom>
                        </pic:spPr>
                      </pic:pic>
                    </a:graphicData>
                  </a:graphic>
                </wp:inline>
              </w:drawing>
            </w:r>
          </w:p>
          <w:p>
            <w:pPr>
              <w:adjustRightInd w:val="0"/>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图2-1 项目区水平衡图   单位：m³/d</w:t>
            </w:r>
          </w:p>
          <w:p>
            <w:pPr>
              <w:widowControl/>
              <w:spacing w:line="360" w:lineRule="auto"/>
              <w:rPr>
                <w:rFonts w:ascii="Times New Roman" w:hAnsi="Times New Roman" w:eastAsia="宋体" w:cs="Times New Roman"/>
                <w:b/>
                <w:sz w:val="24"/>
                <w:lang w:bidi="ar"/>
              </w:rPr>
            </w:pPr>
          </w:p>
          <w:p>
            <w:pPr>
              <w:keepNext/>
              <w:adjustRightInd w:val="0"/>
              <w:snapToGrid w:val="0"/>
              <w:spacing w:line="360" w:lineRule="auto"/>
              <w:ind w:firstLine="482" w:firstLineChars="200"/>
              <w:outlineLvl w:val="1"/>
              <w:rPr>
                <w:rFonts w:ascii="Times New Roman" w:hAnsi="Times New Roman" w:eastAsia="宋体" w:cs="Times New Roman"/>
                <w:b/>
                <w:sz w:val="24"/>
              </w:rPr>
            </w:pPr>
            <w:r>
              <w:rPr>
                <w:rFonts w:ascii="Times New Roman" w:hAnsi="Times New Roman" w:eastAsia="宋体" w:cs="Times New Roman"/>
                <w:b/>
                <w:sz w:val="24"/>
              </w:rPr>
              <w:t>7、物料平衡</w:t>
            </w:r>
          </w:p>
          <w:p>
            <w:pPr>
              <w:keepNext/>
              <w:adjustRightInd w:val="0"/>
              <w:snapToGrid w:val="0"/>
              <w:spacing w:line="360" w:lineRule="auto"/>
              <w:ind w:firstLine="480" w:firstLineChars="200"/>
              <w:outlineLvl w:val="1"/>
              <w:rPr>
                <w:rFonts w:ascii="Times New Roman" w:hAnsi="Times New Roman" w:eastAsia="宋体" w:cs="Times New Roman"/>
                <w:bCs/>
                <w:sz w:val="24"/>
              </w:rPr>
            </w:pPr>
            <w:r>
              <w:rPr>
                <w:rFonts w:ascii="Times New Roman" w:hAnsi="Times New Roman" w:eastAsia="宋体" w:cs="Times New Roman"/>
                <w:sz w:val="24"/>
              </w:rPr>
              <w:t>根据工艺流程中的生产过程具体分析可知，</w:t>
            </w:r>
            <w:r>
              <w:rPr>
                <w:rFonts w:ascii="Times New Roman" w:hAnsi="Times New Roman" w:eastAsia="宋体" w:cs="Times New Roman"/>
                <w:bCs/>
                <w:sz w:val="24"/>
              </w:rPr>
              <w:t>物料平衡详见下表2-6。</w:t>
            </w:r>
          </w:p>
          <w:p>
            <w:pPr>
              <w:pStyle w:val="5"/>
              <w:outlineLvl w:val="3"/>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表2-6 </w:t>
            </w:r>
            <w:r>
              <w:rPr>
                <w:rFonts w:hint="eastAsia" w:ascii="Times New Roman" w:hAnsi="Times New Roman" w:eastAsia="宋体" w:cs="Times New Roman"/>
                <w:color w:val="auto"/>
                <w:sz w:val="21"/>
                <w:szCs w:val="21"/>
              </w:rPr>
              <w:t xml:space="preserve">  </w:t>
            </w:r>
            <w:r>
              <w:rPr>
                <w:rFonts w:ascii="Times New Roman" w:hAnsi="Times New Roman" w:eastAsia="宋体" w:cs="Times New Roman"/>
                <w:color w:val="auto"/>
                <w:sz w:val="21"/>
                <w:szCs w:val="21"/>
              </w:rPr>
              <w:t>物料平衡一览表</w:t>
            </w:r>
          </w:p>
          <w:tbl>
            <w:tblPr>
              <w:tblStyle w:val="29"/>
              <w:tblW w:w="77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7"/>
              <w:gridCol w:w="1163"/>
              <w:gridCol w:w="3000"/>
              <w:gridCol w:w="1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3550" w:type="dxa"/>
                  <w:gridSpan w:val="2"/>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输入</w:t>
                  </w:r>
                </w:p>
              </w:tc>
              <w:tc>
                <w:tcPr>
                  <w:tcW w:w="4202" w:type="dxa"/>
                  <w:gridSpan w:val="2"/>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2387" w:type="dxa"/>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原料</w:t>
                  </w:r>
                </w:p>
              </w:tc>
              <w:tc>
                <w:tcPr>
                  <w:tcW w:w="1163" w:type="dxa"/>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年用量</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（t/a）</w:t>
                  </w:r>
                </w:p>
              </w:tc>
              <w:tc>
                <w:tcPr>
                  <w:tcW w:w="3000" w:type="dxa"/>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产品</w:t>
                  </w:r>
                </w:p>
              </w:tc>
              <w:tc>
                <w:tcPr>
                  <w:tcW w:w="1202" w:type="dxa"/>
                  <w:vAlign w:val="center"/>
                </w:tcPr>
                <w:p>
                  <w:pPr>
                    <w:adjustRightInd w:val="0"/>
                    <w:snapToGrid w:val="0"/>
                    <w:jc w:val="center"/>
                    <w:rPr>
                      <w:b/>
                      <w:bCs/>
                      <w:szCs w:val="21"/>
                    </w:rPr>
                  </w:pPr>
                  <w:r>
                    <w:rPr>
                      <w:b/>
                      <w:bCs/>
                      <w:szCs w:val="21"/>
                    </w:rPr>
                    <w:t>年产量</w:t>
                  </w:r>
                </w:p>
                <w:p>
                  <w:pPr>
                    <w:adjustRightInd w:val="0"/>
                    <w:snapToGrid w:val="0"/>
                    <w:jc w:val="center"/>
                    <w:rPr>
                      <w:szCs w:val="21"/>
                    </w:rPr>
                  </w:pPr>
                  <w:r>
                    <w:rPr>
                      <w:b/>
                      <w:bCs/>
                      <w:szCs w:val="21"/>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2387"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新鲜水</w:t>
                  </w:r>
                </w:p>
              </w:tc>
              <w:tc>
                <w:tcPr>
                  <w:tcW w:w="1163"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900000</w:t>
                  </w:r>
                </w:p>
              </w:tc>
              <w:tc>
                <w:tcPr>
                  <w:tcW w:w="3000"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成品</w:t>
                  </w:r>
                  <w:r>
                    <w:rPr>
                      <w:rFonts w:hint="eastAsia" w:ascii="Times New Roman" w:hAnsi="Times New Roman" w:eastAsia="宋体" w:cs="Times New Roman"/>
                      <w:szCs w:val="21"/>
                    </w:rPr>
                    <w:t>（含水率20%、含泥率2%）</w:t>
                  </w:r>
                </w:p>
              </w:tc>
              <w:tc>
                <w:tcPr>
                  <w:tcW w:w="1202"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1545600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387"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废石（含水率8%、含泥率10%）</w:t>
                  </w:r>
                </w:p>
              </w:tc>
              <w:tc>
                <w:tcPr>
                  <w:tcW w:w="1163"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1500000</w:t>
                  </w:r>
                </w:p>
              </w:tc>
              <w:tc>
                <w:tcPr>
                  <w:tcW w:w="3000"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污泥（含水率40%）</w:t>
                  </w:r>
                </w:p>
              </w:tc>
              <w:tc>
                <w:tcPr>
                  <w:tcW w:w="1202"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165600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387"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废水（回用）</w:t>
                  </w:r>
                </w:p>
              </w:tc>
              <w:tc>
                <w:tcPr>
                  <w:tcW w:w="1163"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216384</w:t>
                  </w:r>
                </w:p>
              </w:tc>
              <w:tc>
                <w:tcPr>
                  <w:tcW w:w="3000"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废水（回用）</w:t>
                  </w:r>
                </w:p>
              </w:tc>
              <w:tc>
                <w:tcPr>
                  <w:tcW w:w="1202"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216384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2387" w:type="dxa"/>
                  <w:vAlign w:val="center"/>
                </w:tcPr>
                <w:p>
                  <w:pPr>
                    <w:adjustRightInd w:val="0"/>
                    <w:snapToGrid w:val="0"/>
                    <w:jc w:val="center"/>
                    <w:rPr>
                      <w:rFonts w:ascii="Times New Roman" w:hAnsi="Times New Roman" w:eastAsia="宋体" w:cs="Times New Roman"/>
                      <w:szCs w:val="21"/>
                    </w:rPr>
                  </w:pPr>
                </w:p>
              </w:tc>
              <w:tc>
                <w:tcPr>
                  <w:tcW w:w="1163" w:type="dxa"/>
                  <w:vAlign w:val="center"/>
                </w:tcPr>
                <w:p>
                  <w:pPr>
                    <w:adjustRightInd w:val="0"/>
                    <w:snapToGrid w:val="0"/>
                    <w:jc w:val="center"/>
                    <w:rPr>
                      <w:rFonts w:ascii="Times New Roman" w:hAnsi="Times New Roman" w:eastAsia="宋体" w:cs="Times New Roman"/>
                      <w:szCs w:val="21"/>
                    </w:rPr>
                  </w:pPr>
                </w:p>
              </w:tc>
              <w:tc>
                <w:tcPr>
                  <w:tcW w:w="3000"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挥发水分</w:t>
                  </w:r>
                </w:p>
              </w:tc>
              <w:tc>
                <w:tcPr>
                  <w:tcW w:w="1202"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688800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2387"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合计</w:t>
                  </w:r>
                </w:p>
              </w:tc>
              <w:tc>
                <w:tcPr>
                  <w:tcW w:w="1163" w:type="dxa"/>
                  <w:vAlign w:val="center"/>
                </w:tcPr>
                <w:p>
                  <w:pPr>
                    <w:widowControl/>
                    <w:jc w:val="right"/>
                    <w:textAlignment w:val="center"/>
                    <w:rPr>
                      <w:rFonts w:ascii="宋体" w:hAnsi="宋体" w:eastAsia="宋体" w:cs="宋体"/>
                      <w:szCs w:val="21"/>
                    </w:rPr>
                  </w:pPr>
                  <w:r>
                    <w:rPr>
                      <w:rFonts w:ascii="宋体" w:hAnsi="宋体" w:eastAsia="宋体" w:cs="宋体"/>
                      <w:szCs w:val="21"/>
                    </w:rPr>
                    <w:t>2616384</w:t>
                  </w:r>
                </w:p>
              </w:tc>
              <w:tc>
                <w:tcPr>
                  <w:tcW w:w="3000"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合计</w:t>
                  </w:r>
                </w:p>
              </w:tc>
              <w:tc>
                <w:tcPr>
                  <w:tcW w:w="1202" w:type="dxa"/>
                  <w:vAlign w:val="center"/>
                </w:tcPr>
                <w:p>
                  <w:pPr>
                    <w:adjustRightInd w:val="0"/>
                    <w:snapToGrid w:val="0"/>
                    <w:jc w:val="center"/>
                    <w:rPr>
                      <w:rFonts w:ascii="Times New Roman" w:hAnsi="Times New Roman" w:eastAsia="宋体" w:cs="Times New Roman"/>
                      <w:szCs w:val="21"/>
                    </w:rPr>
                  </w:pPr>
                  <w:r>
                    <w:rPr>
                      <w:rFonts w:ascii="宋体" w:hAnsi="宋体" w:eastAsia="宋体" w:cs="宋体"/>
                      <w:szCs w:val="21"/>
                    </w:rPr>
                    <w:t>2616384</w:t>
                  </w:r>
                </w:p>
              </w:tc>
            </w:tr>
          </w:tbl>
          <w:p>
            <w:pPr>
              <w:spacing w:line="360" w:lineRule="auto"/>
              <w:ind w:firstLine="420" w:firstLineChars="200"/>
              <w:jc w:val="left"/>
              <w:rPr>
                <w:rFonts w:ascii="Times New Roman" w:hAnsi="Times New Roman" w:eastAsia="宋体" w:cs="Times New Roman"/>
              </w:rPr>
            </w:pPr>
          </w:p>
          <w:p>
            <w:pPr>
              <w:widowControl/>
              <w:spacing w:line="360" w:lineRule="auto"/>
              <w:ind w:firstLine="482" w:firstLineChars="200"/>
              <w:rPr>
                <w:rFonts w:ascii="Times New Roman" w:hAnsi="Times New Roman" w:eastAsia="宋体" w:cs="Times New Roman"/>
                <w:b/>
                <w:sz w:val="24"/>
                <w:lang w:bidi="ar"/>
              </w:rPr>
            </w:pPr>
            <w:r>
              <w:rPr>
                <w:rFonts w:ascii="Times New Roman" w:hAnsi="Times New Roman" w:eastAsia="宋体" w:cs="Times New Roman"/>
                <w:b/>
                <w:sz w:val="24"/>
                <w:lang w:bidi="ar"/>
              </w:rPr>
              <w:t>8、劳动定员及工作制度</w:t>
            </w:r>
          </w:p>
          <w:p>
            <w:pPr>
              <w:pStyle w:val="16"/>
              <w:adjustRightIn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本项目劳动定员</w:t>
            </w:r>
            <w:r>
              <w:rPr>
                <w:rFonts w:hint="eastAsia" w:ascii="Times New Roman" w:hAnsi="Times New Roman" w:eastAsia="宋体" w:cs="Times New Roman"/>
                <w:sz w:val="24"/>
              </w:rPr>
              <w:t>10</w:t>
            </w:r>
            <w:r>
              <w:rPr>
                <w:rFonts w:ascii="Times New Roman" w:hAnsi="Times New Roman" w:eastAsia="宋体" w:cs="Times New Roman"/>
                <w:sz w:val="24"/>
              </w:rPr>
              <w:t>人，不在厂区食宿。</w:t>
            </w:r>
          </w:p>
          <w:p>
            <w:pPr>
              <w:pStyle w:val="43"/>
              <w:widowControl w:val="0"/>
              <w:ind w:left="420" w:leftChars="200" w:firstLine="0" w:firstLineChars="0"/>
              <w:jc w:val="left"/>
              <w:rPr>
                <w:b/>
                <w:bCs/>
                <w:szCs w:val="21"/>
                <w:highlight w:val="yellow"/>
              </w:rPr>
            </w:pPr>
            <w:r>
              <w:rPr>
                <w:sz w:val="24"/>
              </w:rPr>
              <w:t>工作制度：</w:t>
            </w:r>
            <w:r>
              <w:rPr>
                <w:bCs/>
                <w:sz w:val="24"/>
              </w:rPr>
              <w:t>本项目年工作300天，实行两班制，每班工作8小时。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268" w:type="pct"/>
            <w:vAlign w:val="center"/>
          </w:tcPr>
          <w:p>
            <w:pPr>
              <w:spacing w:line="360" w:lineRule="auto"/>
              <w:jc w:val="center"/>
              <w:rPr>
                <w:rFonts w:ascii="Times New Roman" w:hAnsi="Times New Roman" w:eastAsia="宋体" w:cs="Times New Roman"/>
                <w:kern w:val="0"/>
                <w:sz w:val="22"/>
                <w:szCs w:val="22"/>
                <w:lang w:bidi="ar"/>
              </w:rPr>
            </w:pPr>
            <w:r>
              <w:rPr>
                <w:rFonts w:ascii="Times New Roman" w:hAnsi="Times New Roman" w:eastAsia="宋体" w:cs="Times New Roman"/>
                <w:kern w:val="0"/>
                <w:sz w:val="24"/>
                <w:lang w:bidi="ar"/>
              </w:rPr>
              <w:t>工</w:t>
            </w:r>
            <w:r>
              <w:rPr>
                <w:rFonts w:ascii="Times New Roman" w:hAnsi="Times New Roman" w:eastAsia="宋体" w:cs="Times New Roman"/>
                <w:kern w:val="0"/>
                <w:szCs w:val="21"/>
                <w:lang w:bidi="ar"/>
              </w:rPr>
              <w:t>艺流程和产排污环</w:t>
            </w:r>
            <w:r>
              <w:rPr>
                <w:rFonts w:ascii="Times New Roman" w:hAnsi="Times New Roman" w:eastAsia="宋体" w:cs="Times New Roman"/>
                <w:kern w:val="0"/>
                <w:sz w:val="24"/>
                <w:lang w:bidi="ar"/>
              </w:rPr>
              <w:t>节</w:t>
            </w:r>
          </w:p>
        </w:tc>
        <w:tc>
          <w:tcPr>
            <w:tcW w:w="4731" w:type="pct"/>
          </w:tcPr>
          <w:p>
            <w:pPr>
              <w:spacing w:line="360" w:lineRule="auto"/>
              <w:rPr>
                <w:rFonts w:ascii="Times New Roman" w:hAnsi="Times New Roman" w:eastAsia="宋体" w:cs="Times New Roman"/>
                <w:b/>
                <w:bCs/>
                <w:sz w:val="24"/>
              </w:rPr>
            </w:pPr>
            <w:r>
              <w:rPr>
                <w:rFonts w:ascii="Times New Roman" w:hAnsi="Times New Roman" w:eastAsia="宋体" w:cs="Times New Roman"/>
                <w:b/>
                <w:bCs/>
                <w:sz w:val="24"/>
              </w:rPr>
              <w:t>2.1施工期工艺流程及产污分析</w:t>
            </w:r>
          </w:p>
          <w:p>
            <w:pPr>
              <w:spacing w:line="360" w:lineRule="auto"/>
              <w:ind w:firstLine="480"/>
              <w:rPr>
                <w:rFonts w:ascii="Times New Roman" w:hAnsi="Times New Roman" w:eastAsia="宋体" w:cs="Times New Roman"/>
                <w:sz w:val="24"/>
              </w:rPr>
            </w:pPr>
            <w:r>
              <w:rPr>
                <w:rFonts w:ascii="Times New Roman" w:hAnsi="Times New Roman" w:eastAsia="宋体" w:cs="Times New Roman"/>
                <w:sz w:val="24"/>
              </w:rPr>
              <w:t>整个项目施工期主要进行生产设备基础建设、设备安装及相关配套设施建设。</w:t>
            </w:r>
          </w:p>
          <w:p>
            <w:pPr>
              <w:spacing w:line="360" w:lineRule="auto"/>
              <w:ind w:firstLine="480"/>
              <w:rPr>
                <w:rFonts w:ascii="Times New Roman" w:hAnsi="Times New Roman" w:eastAsia="宋体" w:cs="Times New Roman"/>
                <w:sz w:val="24"/>
              </w:rPr>
            </w:pPr>
            <w:r>
              <w:rPr>
                <w:rFonts w:ascii="Times New Roman" w:hAnsi="Times New Roman" w:eastAsia="宋体" w:cs="Times New Roman"/>
                <w:sz w:val="24"/>
              </w:rPr>
              <w:t>项目施工工序主要为基础工程、主体工程和辅助工程、设备安装调试等，从污染角度分析，施工期主要污染因子有：施工废气、施工噪声、施工固体废弃物、施工废水等。</w:t>
            </w:r>
          </w:p>
          <w:p>
            <w:pPr>
              <w:spacing w:line="360" w:lineRule="auto"/>
              <w:ind w:firstLine="480"/>
              <w:rPr>
                <w:rFonts w:ascii="Times New Roman" w:hAnsi="Times New Roman" w:eastAsia="宋体" w:cs="Times New Roman"/>
                <w:sz w:val="24"/>
              </w:rPr>
            </w:pPr>
            <w:r>
              <w:rPr>
                <w:rFonts w:ascii="Times New Roman" w:hAnsi="Times New Roman" w:eastAsia="宋体" w:cs="Times New Roman"/>
                <w:sz w:val="24"/>
              </w:rPr>
              <w:t>项目工程施工期的工艺流程及产污情况图示如下：</w:t>
            </w:r>
          </w:p>
          <w:p>
            <w:pPr>
              <w:tabs>
                <w:tab w:val="left" w:pos="0"/>
              </w:tabs>
              <w:adjustRightInd w:val="0"/>
              <w:snapToGrid w:val="0"/>
              <w:jc w:val="center"/>
              <w:rPr>
                <w:rFonts w:ascii="Times New Roman" w:hAnsi="Times New Roman" w:eastAsia="宋体" w:cs="Times New Roman"/>
                <w:sz w:val="24"/>
              </w:rPr>
            </w:pPr>
            <w:r>
              <w:drawing>
                <wp:inline distT="0" distB="0" distL="114300" distR="114300">
                  <wp:extent cx="4982845" cy="1674495"/>
                  <wp:effectExtent l="0" t="0" r="8255" b="1905"/>
                  <wp:docPr id="7"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1"/>
                          <pic:cNvPicPr>
                            <a:picLocks noChangeAspect="1"/>
                          </pic:cNvPicPr>
                        </pic:nvPicPr>
                        <pic:blipFill>
                          <a:blip r:embed="rId7"/>
                          <a:stretch>
                            <a:fillRect/>
                          </a:stretch>
                        </pic:blipFill>
                        <pic:spPr>
                          <a:xfrm>
                            <a:off x="0" y="0"/>
                            <a:ext cx="4982845" cy="1674495"/>
                          </a:xfrm>
                          <a:prstGeom prst="rect">
                            <a:avLst/>
                          </a:prstGeom>
                          <a:noFill/>
                          <a:ln>
                            <a:noFill/>
                          </a:ln>
                        </pic:spPr>
                      </pic:pic>
                    </a:graphicData>
                  </a:graphic>
                </wp:inline>
              </w:drawing>
            </w:r>
          </w:p>
          <w:p>
            <w:pPr>
              <w:adjustRightInd w:val="0"/>
              <w:snapToGrid w:val="0"/>
              <w:jc w:val="center"/>
              <w:rPr>
                <w:rFonts w:ascii="Times New Roman" w:hAnsi="Times New Roman" w:eastAsia="宋体" w:cs="Times New Roman"/>
                <w:b/>
                <w:bCs/>
                <w:szCs w:val="21"/>
              </w:rPr>
            </w:pPr>
            <w:r>
              <w:rPr>
                <w:rFonts w:ascii="Times New Roman" w:hAnsi="Times New Roman" w:eastAsia="宋体" w:cs="Times New Roman"/>
                <w:b/>
                <w:bCs/>
                <w:kern w:val="0"/>
                <w:szCs w:val="21"/>
                <w:lang w:bidi="ar"/>
              </w:rPr>
              <w:t>图2-2 施工期工艺流程图</w:t>
            </w:r>
          </w:p>
          <w:p>
            <w:pPr>
              <w:spacing w:line="360" w:lineRule="auto"/>
              <w:rPr>
                <w:rFonts w:ascii="Times New Roman" w:hAnsi="Times New Roman" w:eastAsia="宋体" w:cs="Times New Roman"/>
                <w:b/>
                <w:bCs/>
                <w:sz w:val="24"/>
              </w:rPr>
            </w:pPr>
            <w:r>
              <w:rPr>
                <w:rFonts w:ascii="Times New Roman" w:hAnsi="Times New Roman" w:eastAsia="宋体" w:cs="Times New Roman"/>
                <w:b/>
                <w:bCs/>
                <w:sz w:val="24"/>
              </w:rPr>
              <w:t>2.2运营期工艺流程及产污分析</w:t>
            </w:r>
          </w:p>
          <w:p>
            <w:pPr>
              <w:spacing w:line="360" w:lineRule="auto"/>
              <w:ind w:firstLine="480"/>
              <w:rPr>
                <w:rFonts w:ascii="Times New Roman" w:hAnsi="Times New Roman" w:eastAsia="宋体" w:cs="Times New Roman"/>
                <w:b/>
                <w:bCs/>
                <w:sz w:val="24"/>
              </w:rPr>
            </w:pPr>
            <w:r>
              <w:rPr>
                <w:rFonts w:ascii="Times New Roman" w:hAnsi="Times New Roman" w:eastAsia="宋体" w:cs="Times New Roman"/>
                <w:b/>
                <w:bCs/>
                <w:sz w:val="24"/>
              </w:rPr>
              <w:t>1、工艺流程图：</w:t>
            </w:r>
          </w:p>
          <w:p>
            <w:pPr>
              <w:adjustRightInd w:val="0"/>
              <w:snapToGrid w:val="0"/>
              <w:spacing w:line="360" w:lineRule="auto"/>
              <w:jc w:val="center"/>
              <w:rPr>
                <w:rFonts w:ascii="Times New Roman" w:hAnsi="Times New Roman" w:eastAsia="宋体" w:cs="Times New Roman"/>
                <w:sz w:val="24"/>
              </w:rPr>
            </w:pPr>
            <w:r>
              <w:drawing>
                <wp:inline distT="0" distB="0" distL="114300" distR="114300">
                  <wp:extent cx="4705350" cy="4757420"/>
                  <wp:effectExtent l="0" t="0" r="0" b="5080"/>
                  <wp:docPr id="2"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3"/>
                          <pic:cNvPicPr>
                            <a:picLocks noChangeAspect="1"/>
                          </pic:cNvPicPr>
                        </pic:nvPicPr>
                        <pic:blipFill>
                          <a:blip r:embed="rId8"/>
                          <a:stretch>
                            <a:fillRect/>
                          </a:stretch>
                        </pic:blipFill>
                        <pic:spPr>
                          <a:xfrm>
                            <a:off x="0" y="0"/>
                            <a:ext cx="4705350" cy="4757420"/>
                          </a:xfrm>
                          <a:prstGeom prst="rect">
                            <a:avLst/>
                          </a:prstGeom>
                          <a:noFill/>
                          <a:ln>
                            <a:noFill/>
                          </a:ln>
                        </pic:spPr>
                      </pic:pic>
                    </a:graphicData>
                  </a:graphic>
                </wp:inline>
              </w:drawing>
            </w:r>
            <w:r>
              <w:rPr>
                <w:sz w:val="24"/>
              </w:rPr>
              <mc:AlternateContent>
                <mc:Choice Requires="wps">
                  <w:drawing>
                    <wp:anchor distT="0" distB="0" distL="114300" distR="114300" simplePos="0" relativeHeight="251660288" behindDoc="0" locked="0" layoutInCell="1" allowOverlap="1">
                      <wp:simplePos x="0" y="0"/>
                      <wp:positionH relativeFrom="column">
                        <wp:posOffset>1971040</wp:posOffset>
                      </wp:positionH>
                      <wp:positionV relativeFrom="paragraph">
                        <wp:posOffset>2853690</wp:posOffset>
                      </wp:positionV>
                      <wp:extent cx="266700" cy="104775"/>
                      <wp:effectExtent l="0" t="0" r="0" b="0"/>
                      <wp:wrapNone/>
                      <wp:docPr id="1" name="矩形 1"/>
                      <wp:cNvGraphicFramePr/>
                      <a:graphic xmlns:a="http://schemas.openxmlformats.org/drawingml/2006/main">
                        <a:graphicData uri="http://schemas.microsoft.com/office/word/2010/wordprocessingShape">
                          <wps:wsp>
                            <wps:cNvSpPr/>
                            <wps:spPr>
                              <a:xfrm>
                                <a:off x="3366135" y="6821805"/>
                                <a:ext cx="266700" cy="104775"/>
                              </a:xfrm>
                              <a:prstGeom prst="rect">
                                <a:avLst/>
                              </a:prstGeom>
                              <a:solidFill>
                                <a:schemeClr val="bg1"/>
                              </a:solidFill>
                              <a:ln>
                                <a:noFill/>
                              </a:ln>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5.2pt;margin-top:224.7pt;height:8.25pt;width:21pt;z-index:251660288;v-text-anchor:middle;mso-width-relative:page;mso-height-relative:page;" fillcolor="#FFFFFF [3212]" filled="t" stroked="f" coordsize="21600,21600" o:gfxdata="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FAeaBXaAAAACwEAAA8AAAAAAAAAAQAgAAAAIgAAAGRy&#10;cy9kb3ducmV2LnhtbFBLAQIUABQAAAAIAIdO4kA2AtQvdQIAANYEAAAOAAAAAAAAAAEAIAAAACkB&#10;AABkcnMvZTJvRG9jLnhtbFBLBQYAAAAABgAGAFkBAAAQBgAAAAA=&#10;">
                      <v:fill on="t" focussize="0,0"/>
                      <v:stroke on="f" weight="1pt" miterlimit="8" joinstyle="miter"/>
                      <v:imagedata o:title=""/>
                      <o:lock v:ext="edit" aspectratio="f"/>
                    </v:rect>
                  </w:pict>
                </mc:Fallback>
              </mc:AlternateContent>
            </w:r>
          </w:p>
          <w:p>
            <w:pPr>
              <w:adjustRightInd w:val="0"/>
              <w:snapToGrid w:val="0"/>
              <w:jc w:val="center"/>
              <w:rPr>
                <w:rFonts w:ascii="Times New Roman" w:hAnsi="Times New Roman" w:eastAsia="宋体" w:cs="Times New Roman"/>
                <w:szCs w:val="21"/>
              </w:rPr>
            </w:pPr>
            <w:r>
              <w:rPr>
                <w:rFonts w:ascii="Times New Roman" w:hAnsi="Times New Roman" w:eastAsia="宋体" w:cs="Times New Roman"/>
                <w:b/>
                <w:bCs/>
                <w:szCs w:val="21"/>
              </w:rPr>
              <w:t>图2-3 运营期工艺流程及产污节点图</w:t>
            </w:r>
          </w:p>
          <w:p>
            <w:pPr>
              <w:adjustRightInd w:val="0"/>
              <w:snapToGrid w:val="0"/>
              <w:spacing w:line="360" w:lineRule="auto"/>
              <w:ind w:firstLine="482" w:firstLineChars="200"/>
              <w:rPr>
                <w:rFonts w:ascii="Times New Roman" w:hAnsi="Times New Roman" w:eastAsia="宋体" w:cs="Times New Roman"/>
                <w:b/>
                <w:bCs/>
                <w:sz w:val="24"/>
              </w:rPr>
            </w:pPr>
          </w:p>
          <w:p>
            <w:pPr>
              <w:adjustRightInd w:val="0"/>
              <w:snapToGrid w:val="0"/>
              <w:spacing w:line="360" w:lineRule="auto"/>
              <w:ind w:firstLine="482" w:firstLineChars="200"/>
              <w:rPr>
                <w:rFonts w:ascii="Times New Roman" w:hAnsi="Times New Roman" w:eastAsia="宋体" w:cs="Times New Roman"/>
                <w:b/>
                <w:bCs/>
                <w:sz w:val="24"/>
              </w:rPr>
            </w:pPr>
            <w:r>
              <w:rPr>
                <w:rFonts w:ascii="Times New Roman" w:hAnsi="Times New Roman" w:eastAsia="宋体" w:cs="Times New Roman"/>
                <w:b/>
                <w:bCs/>
                <w:sz w:val="24"/>
              </w:rPr>
              <w:t>2、工艺流程简述：</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原材料堆场：购买的废石堆放到原材料堆场，堆料场在干燥大风天气下</w:t>
            </w:r>
            <w:r>
              <w:rPr>
                <w:rFonts w:hint="eastAsia" w:ascii="宋体" w:hAnsi="宋体" w:cs="宋体"/>
                <w:bCs/>
                <w:sz w:val="24"/>
              </w:rPr>
              <w:t>经风扬后产生扬尘。</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破碎：废石经过颚式破碎机破碎，</w:t>
            </w:r>
            <w:r>
              <w:rPr>
                <w:rFonts w:hint="eastAsia" w:ascii="宋体" w:hAnsi="宋体" w:cs="宋体"/>
                <w:bCs/>
                <w:sz w:val="24"/>
              </w:rPr>
              <w:t>破碎后的石子通过传送带送至圆锥破碎机进行再次破碎，</w:t>
            </w:r>
            <w:r>
              <w:rPr>
                <w:rFonts w:hint="eastAsia" w:ascii="宋体" w:hAnsi="宋体" w:cs="宋体"/>
                <w:sz w:val="24"/>
              </w:rPr>
              <w:t>该过程产生噪声及粉尘。</w:t>
            </w:r>
          </w:p>
          <w:p>
            <w:pPr>
              <w:autoSpaceDE w:val="0"/>
              <w:autoSpaceDN w:val="0"/>
              <w:snapToGrid w:val="0"/>
              <w:spacing w:line="360" w:lineRule="auto"/>
              <w:ind w:firstLine="480" w:firstLineChars="200"/>
              <w:rPr>
                <w:rFonts w:ascii="宋体" w:hAnsi="宋体" w:cs="宋体"/>
                <w:bCs/>
                <w:sz w:val="24"/>
              </w:rPr>
            </w:pPr>
            <w:r>
              <w:rPr>
                <w:rFonts w:hint="eastAsia" w:ascii="宋体" w:hAnsi="宋体" w:cs="宋体"/>
                <w:bCs/>
                <w:sz w:val="24"/>
              </w:rPr>
              <w:t>洗沙机：通过筛网的筛分，不同规格的砂石经过洗沙机后，通过传送带运至产品堆场，该工序产生废水。</w:t>
            </w:r>
          </w:p>
          <w:p>
            <w:pPr>
              <w:autoSpaceDE w:val="0"/>
              <w:autoSpaceDN w:val="0"/>
              <w:snapToGrid w:val="0"/>
              <w:spacing w:line="360" w:lineRule="auto"/>
              <w:ind w:firstLine="480" w:firstLineChars="200"/>
              <w:rPr>
                <w:rFonts w:ascii="宋体" w:hAnsi="宋体" w:cs="宋体"/>
                <w:bCs/>
                <w:sz w:val="24"/>
              </w:rPr>
            </w:pPr>
            <w:r>
              <w:rPr>
                <w:rFonts w:hint="eastAsia" w:ascii="宋体" w:hAnsi="宋体" w:cs="宋体"/>
                <w:bCs/>
                <w:sz w:val="24"/>
              </w:rPr>
              <w:t>成品堆场：不同规格的砂石，经过传送带送至堆场，再由装载机转运至产品堆场。</w:t>
            </w:r>
          </w:p>
          <w:p>
            <w:pPr>
              <w:spacing w:line="360" w:lineRule="auto"/>
              <w:ind w:firstLine="480" w:firstLineChars="200"/>
              <w:rPr>
                <w:sz w:val="24"/>
              </w:rPr>
            </w:pPr>
            <w:r>
              <w:rPr>
                <w:rFonts w:hint="eastAsia"/>
                <w:sz w:val="24"/>
              </w:rPr>
              <w:t>运营期产污情况详见表2-7。</w:t>
            </w:r>
          </w:p>
          <w:p>
            <w:pPr>
              <w:ind w:firstLine="422" w:firstLineChars="200"/>
              <w:jc w:val="center"/>
              <w:rPr>
                <w:b/>
                <w:bCs/>
                <w:szCs w:val="21"/>
              </w:rPr>
            </w:pPr>
            <w:r>
              <w:rPr>
                <w:b/>
                <w:bCs/>
                <w:szCs w:val="21"/>
              </w:rPr>
              <w:t>表 2-</w:t>
            </w:r>
            <w:r>
              <w:rPr>
                <w:rFonts w:hint="eastAsia"/>
                <w:b/>
                <w:bCs/>
                <w:szCs w:val="21"/>
              </w:rPr>
              <w:t>7  运营期</w:t>
            </w:r>
            <w:r>
              <w:rPr>
                <w:b/>
                <w:bCs/>
                <w:szCs w:val="21"/>
              </w:rPr>
              <w:t>产污环节及污染物情况一览表</w:t>
            </w:r>
          </w:p>
          <w:tbl>
            <w:tblPr>
              <w:tblStyle w:val="2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6"/>
              <w:gridCol w:w="2422"/>
              <w:gridCol w:w="1528"/>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6" w:type="pct"/>
                  <w:tcBorders>
                    <w:bottom w:val="single" w:color="auto" w:sz="4" w:space="0"/>
                    <w:right w:val="single" w:color="auto" w:sz="4" w:space="0"/>
                  </w:tcBorders>
                  <w:vAlign w:val="center"/>
                </w:tcPr>
                <w:p>
                  <w:pPr>
                    <w:jc w:val="center"/>
                    <w:rPr>
                      <w:b/>
                      <w:bCs/>
                      <w:szCs w:val="21"/>
                    </w:rPr>
                  </w:pPr>
                  <w:r>
                    <w:rPr>
                      <w:b/>
                      <w:bCs/>
                      <w:szCs w:val="21"/>
                    </w:rPr>
                    <w:t>类别</w:t>
                  </w:r>
                </w:p>
              </w:tc>
              <w:tc>
                <w:tcPr>
                  <w:tcW w:w="1545" w:type="pct"/>
                  <w:tcBorders>
                    <w:left w:val="single" w:color="auto" w:sz="4" w:space="0"/>
                    <w:bottom w:val="single" w:color="auto" w:sz="4" w:space="0"/>
                    <w:right w:val="single" w:color="auto" w:sz="4" w:space="0"/>
                  </w:tcBorders>
                  <w:vAlign w:val="center"/>
                </w:tcPr>
                <w:p>
                  <w:pPr>
                    <w:widowControl/>
                    <w:jc w:val="center"/>
                    <w:rPr>
                      <w:b/>
                      <w:bCs/>
                      <w:szCs w:val="21"/>
                    </w:rPr>
                  </w:pPr>
                  <w:r>
                    <w:rPr>
                      <w:b/>
                      <w:bCs/>
                      <w:kern w:val="0"/>
                      <w:szCs w:val="21"/>
                      <w:lang w:bidi="ar"/>
                    </w:rPr>
                    <w:t>污染物名称</w:t>
                  </w:r>
                </w:p>
              </w:tc>
              <w:tc>
                <w:tcPr>
                  <w:tcW w:w="974" w:type="pct"/>
                  <w:tcBorders>
                    <w:left w:val="single" w:color="auto" w:sz="4" w:space="0"/>
                    <w:bottom w:val="single" w:color="auto" w:sz="4" w:space="0"/>
                    <w:right w:val="single" w:color="auto" w:sz="4" w:space="0"/>
                  </w:tcBorders>
                  <w:vAlign w:val="center"/>
                </w:tcPr>
                <w:p>
                  <w:pPr>
                    <w:widowControl/>
                    <w:jc w:val="center"/>
                    <w:rPr>
                      <w:b/>
                      <w:bCs/>
                      <w:szCs w:val="21"/>
                    </w:rPr>
                  </w:pPr>
                  <w:r>
                    <w:rPr>
                      <w:b/>
                      <w:bCs/>
                      <w:kern w:val="0"/>
                      <w:szCs w:val="21"/>
                      <w:lang w:bidi="ar"/>
                    </w:rPr>
                    <w:t>主要污染因子</w:t>
                  </w:r>
                </w:p>
              </w:tc>
              <w:tc>
                <w:tcPr>
                  <w:tcW w:w="1493" w:type="pct"/>
                  <w:tcBorders>
                    <w:left w:val="single" w:color="auto" w:sz="4" w:space="0"/>
                    <w:bottom w:val="single" w:color="auto" w:sz="4" w:space="0"/>
                  </w:tcBorders>
                  <w:vAlign w:val="center"/>
                </w:tcPr>
                <w:p>
                  <w:pPr>
                    <w:widowControl/>
                    <w:jc w:val="center"/>
                    <w:rPr>
                      <w:b/>
                      <w:bCs/>
                      <w:szCs w:val="21"/>
                    </w:rPr>
                  </w:pPr>
                  <w:r>
                    <w:rPr>
                      <w:b/>
                      <w:bCs/>
                      <w:kern w:val="0"/>
                      <w:szCs w:val="21"/>
                      <w:lang w:bidi="ar"/>
                    </w:rPr>
                    <w:t>防治措施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986" w:type="pct"/>
                  <w:vMerge w:val="restart"/>
                  <w:tcBorders>
                    <w:top w:val="single" w:color="auto" w:sz="4" w:space="0"/>
                    <w:right w:val="single" w:color="auto" w:sz="4" w:space="0"/>
                  </w:tcBorders>
                  <w:vAlign w:val="center"/>
                </w:tcPr>
                <w:p>
                  <w:pPr>
                    <w:jc w:val="center"/>
                    <w:rPr>
                      <w:szCs w:val="21"/>
                    </w:rPr>
                  </w:pPr>
                  <w:r>
                    <w:rPr>
                      <w:szCs w:val="21"/>
                    </w:rPr>
                    <w:t>废气</w:t>
                  </w:r>
                </w:p>
              </w:tc>
              <w:tc>
                <w:tcPr>
                  <w:tcW w:w="1545" w:type="pct"/>
                  <w:tcBorders>
                    <w:top w:val="single" w:color="auto" w:sz="4" w:space="0"/>
                    <w:left w:val="single" w:color="auto" w:sz="4" w:space="0"/>
                    <w:bottom w:val="single" w:color="auto" w:sz="4" w:space="0"/>
                    <w:right w:val="single" w:color="auto" w:sz="4" w:space="0"/>
                  </w:tcBorders>
                  <w:vAlign w:val="center"/>
                </w:tcPr>
                <w:p>
                  <w:pPr>
                    <w:jc w:val="center"/>
                    <w:rPr>
                      <w:rFonts w:eastAsia="宋体"/>
                      <w:szCs w:val="21"/>
                    </w:rPr>
                  </w:pPr>
                  <w:r>
                    <w:rPr>
                      <w:rFonts w:hint="eastAsia"/>
                      <w:szCs w:val="21"/>
                    </w:rPr>
                    <w:t>破碎、筛分过程中产生的粉尘</w:t>
                  </w:r>
                </w:p>
              </w:tc>
              <w:tc>
                <w:tcPr>
                  <w:tcW w:w="974" w:type="pct"/>
                  <w:vMerge w:val="restart"/>
                  <w:tcBorders>
                    <w:top w:val="single" w:color="auto" w:sz="4" w:space="0"/>
                    <w:left w:val="single" w:color="auto" w:sz="4" w:space="0"/>
                    <w:right w:val="single" w:color="auto" w:sz="4" w:space="0"/>
                  </w:tcBorders>
                  <w:vAlign w:val="center"/>
                </w:tcPr>
                <w:p>
                  <w:pPr>
                    <w:jc w:val="center"/>
                    <w:rPr>
                      <w:rFonts w:eastAsia="宋体"/>
                      <w:szCs w:val="21"/>
                    </w:rPr>
                  </w:pPr>
                  <w:r>
                    <w:rPr>
                      <w:rFonts w:hint="eastAsia"/>
                      <w:szCs w:val="21"/>
                    </w:rPr>
                    <w:t>颗粒物</w:t>
                  </w:r>
                </w:p>
              </w:tc>
              <w:tc>
                <w:tcPr>
                  <w:tcW w:w="1493" w:type="pct"/>
                  <w:vMerge w:val="restart"/>
                  <w:tcBorders>
                    <w:top w:val="single" w:color="auto" w:sz="4" w:space="0"/>
                    <w:left w:val="single" w:color="auto" w:sz="4" w:space="0"/>
                  </w:tcBorders>
                  <w:vAlign w:val="center"/>
                </w:tcPr>
                <w:p>
                  <w:pPr>
                    <w:jc w:val="center"/>
                    <w:rPr>
                      <w:szCs w:val="21"/>
                    </w:rPr>
                  </w:pPr>
                  <w:r>
                    <w:rPr>
                      <w:rFonts w:ascii="Times New Roman" w:hAnsi="Times New Roman" w:cs="Times New Roman"/>
                      <w:kern w:val="0"/>
                      <w:szCs w:val="21"/>
                      <w:lang w:bidi="ar"/>
                    </w:rPr>
                    <w:t>封闭厂房；</w:t>
                  </w:r>
                  <w:r>
                    <w:rPr>
                      <w:rFonts w:ascii="Times New Roman" w:hAnsi="Times New Roman" w:eastAsia="宋体" w:cs="Times New Roman"/>
                      <w:kern w:val="0"/>
                      <w:szCs w:val="21"/>
                      <w:lang w:bidi="ar"/>
                    </w:rPr>
                    <w:t>破碎</w:t>
                  </w:r>
                  <w:r>
                    <w:rPr>
                      <w:rFonts w:ascii="Times New Roman" w:hAnsi="Times New Roman" w:cs="Times New Roman"/>
                      <w:kern w:val="0"/>
                      <w:szCs w:val="21"/>
                      <w:lang w:bidi="ar"/>
                    </w:rPr>
                    <w:t>机进出料口安装喷雾除尘设施；筛分机进出料口安装</w:t>
                  </w:r>
                  <w:r>
                    <w:rPr>
                      <w:rFonts w:hint="eastAsia" w:ascii="Times New Roman" w:hAnsi="Times New Roman" w:cs="Times New Roman"/>
                      <w:kern w:val="0"/>
                      <w:szCs w:val="21"/>
                      <w:lang w:bidi="ar"/>
                    </w:rPr>
                    <w:t>洒水</w:t>
                  </w:r>
                  <w:r>
                    <w:rPr>
                      <w:rFonts w:ascii="Times New Roman" w:hAnsi="Times New Roman" w:cs="Times New Roman"/>
                      <w:kern w:val="0"/>
                      <w:szCs w:val="21"/>
                      <w:lang w:bidi="ar"/>
                    </w:rPr>
                    <w:t>除尘设施；厂房设置喷雾除尘设施</w:t>
                  </w:r>
                  <w:r>
                    <w:rPr>
                      <w:rFonts w:hint="eastAsia" w:ascii="Times New Roman" w:hAnsi="Times New Roman" w:cs="Times New Roman"/>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986" w:type="pct"/>
                  <w:vMerge w:val="continue"/>
                  <w:tcBorders>
                    <w:right w:val="single" w:color="auto" w:sz="4" w:space="0"/>
                  </w:tcBorders>
                  <w:vAlign w:val="center"/>
                </w:tcPr>
                <w:p>
                  <w:pPr>
                    <w:jc w:val="center"/>
                    <w:rPr>
                      <w:szCs w:val="21"/>
                    </w:rPr>
                  </w:pPr>
                </w:p>
              </w:tc>
              <w:tc>
                <w:tcPr>
                  <w:tcW w:w="1545" w:type="pct"/>
                  <w:tcBorders>
                    <w:top w:val="single" w:color="auto" w:sz="4" w:space="0"/>
                    <w:left w:val="single" w:color="auto" w:sz="4" w:space="0"/>
                    <w:bottom w:val="single" w:color="auto" w:sz="4" w:space="0"/>
                    <w:right w:val="single" w:color="auto" w:sz="4" w:space="0"/>
                  </w:tcBorders>
                  <w:vAlign w:val="center"/>
                </w:tcPr>
                <w:p>
                  <w:pPr>
                    <w:jc w:val="center"/>
                    <w:rPr>
                      <w:rFonts w:eastAsia="宋体"/>
                      <w:szCs w:val="21"/>
                    </w:rPr>
                  </w:pPr>
                  <w:r>
                    <w:rPr>
                      <w:rFonts w:hint="eastAsia"/>
                      <w:szCs w:val="21"/>
                    </w:rPr>
                    <w:t>堆场扬尘</w:t>
                  </w:r>
                </w:p>
              </w:tc>
              <w:tc>
                <w:tcPr>
                  <w:tcW w:w="974" w:type="pct"/>
                  <w:vMerge w:val="continue"/>
                  <w:tcBorders>
                    <w:left w:val="single" w:color="auto" w:sz="4" w:space="0"/>
                    <w:right w:val="single" w:color="auto" w:sz="4" w:space="0"/>
                  </w:tcBorders>
                  <w:vAlign w:val="center"/>
                </w:tcPr>
                <w:p>
                  <w:pPr>
                    <w:jc w:val="center"/>
                    <w:rPr>
                      <w:szCs w:val="21"/>
                    </w:rPr>
                  </w:pPr>
                </w:p>
              </w:tc>
              <w:tc>
                <w:tcPr>
                  <w:tcW w:w="1493" w:type="pct"/>
                  <w:vMerge w:val="continue"/>
                  <w:tcBorders>
                    <w:left w:val="single" w:color="auto" w:sz="4" w:space="0"/>
                    <w:bottom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986" w:type="pct"/>
                  <w:vMerge w:val="continue"/>
                  <w:tcBorders>
                    <w:right w:val="single" w:color="auto" w:sz="4" w:space="0"/>
                  </w:tcBorders>
                  <w:vAlign w:val="center"/>
                </w:tcPr>
                <w:p>
                  <w:pPr>
                    <w:jc w:val="center"/>
                    <w:rPr>
                      <w:szCs w:val="21"/>
                    </w:rPr>
                  </w:pPr>
                </w:p>
              </w:tc>
              <w:tc>
                <w:tcPr>
                  <w:tcW w:w="1545" w:type="pct"/>
                  <w:tcBorders>
                    <w:top w:val="single" w:color="auto" w:sz="4" w:space="0"/>
                    <w:left w:val="single" w:color="auto" w:sz="4" w:space="0"/>
                    <w:bottom w:val="single" w:color="auto" w:sz="4" w:space="0"/>
                    <w:right w:val="single" w:color="auto" w:sz="4" w:space="0"/>
                  </w:tcBorders>
                  <w:vAlign w:val="center"/>
                </w:tcPr>
                <w:p>
                  <w:pPr>
                    <w:jc w:val="center"/>
                    <w:rPr>
                      <w:rFonts w:eastAsia="宋体"/>
                      <w:szCs w:val="21"/>
                    </w:rPr>
                  </w:pPr>
                  <w:r>
                    <w:rPr>
                      <w:rFonts w:hint="eastAsia"/>
                      <w:szCs w:val="21"/>
                    </w:rPr>
                    <w:t>装卸扬尘</w:t>
                  </w:r>
                </w:p>
              </w:tc>
              <w:tc>
                <w:tcPr>
                  <w:tcW w:w="974" w:type="pct"/>
                  <w:vMerge w:val="continue"/>
                  <w:tcBorders>
                    <w:left w:val="single" w:color="auto" w:sz="4" w:space="0"/>
                    <w:right w:val="single" w:color="auto" w:sz="4" w:space="0"/>
                  </w:tcBorders>
                  <w:vAlign w:val="center"/>
                </w:tcPr>
                <w:p>
                  <w:pPr>
                    <w:jc w:val="center"/>
                    <w:rPr>
                      <w:szCs w:val="21"/>
                    </w:rPr>
                  </w:pPr>
                </w:p>
              </w:tc>
              <w:tc>
                <w:tcPr>
                  <w:tcW w:w="1493" w:type="pct"/>
                  <w:tcBorders>
                    <w:top w:val="single" w:color="auto" w:sz="4" w:space="0"/>
                    <w:left w:val="single" w:color="auto" w:sz="4" w:space="0"/>
                    <w:bottom w:val="single" w:color="auto" w:sz="4" w:space="0"/>
                  </w:tcBorders>
                  <w:vAlign w:val="center"/>
                </w:tcPr>
                <w:p>
                  <w:pPr>
                    <w:jc w:val="center"/>
                    <w:rPr>
                      <w:szCs w:val="21"/>
                    </w:rPr>
                  </w:pPr>
                  <w:r>
                    <w:rPr>
                      <w:rFonts w:ascii="Times New Roman" w:hAnsi="Times New Roman" w:cs="Times New Roman"/>
                      <w:szCs w:val="21"/>
                    </w:rPr>
                    <w:t>帆布覆盖、</w:t>
                  </w:r>
                  <w:r>
                    <w:rPr>
                      <w:rFonts w:hint="eastAsia" w:ascii="Times New Roman" w:hAnsi="Times New Roman" w:cs="Times New Roman"/>
                      <w:szCs w:val="21"/>
                    </w:rPr>
                    <w:t>料棚遮蔽</w:t>
                  </w:r>
                  <w:r>
                    <w:rPr>
                      <w:rFonts w:ascii="Times New Roman" w:hAnsi="Times New Roman" w:cs="Times New Roman"/>
                      <w:szCs w:val="21"/>
                    </w:rPr>
                    <w:t>和洒水降尘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986" w:type="pct"/>
                  <w:vMerge w:val="continue"/>
                  <w:tcBorders>
                    <w:right w:val="single" w:color="auto" w:sz="4" w:space="0"/>
                  </w:tcBorders>
                  <w:vAlign w:val="center"/>
                </w:tcPr>
                <w:p>
                  <w:pPr>
                    <w:jc w:val="center"/>
                    <w:rPr>
                      <w:szCs w:val="21"/>
                    </w:rPr>
                  </w:pPr>
                </w:p>
              </w:tc>
              <w:tc>
                <w:tcPr>
                  <w:tcW w:w="1545" w:type="pct"/>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道路运输扬尘</w:t>
                  </w:r>
                </w:p>
              </w:tc>
              <w:tc>
                <w:tcPr>
                  <w:tcW w:w="974" w:type="pct"/>
                  <w:vMerge w:val="continue"/>
                  <w:tcBorders>
                    <w:left w:val="single" w:color="auto" w:sz="4" w:space="0"/>
                    <w:right w:val="single" w:color="auto" w:sz="4" w:space="0"/>
                  </w:tcBorders>
                  <w:vAlign w:val="center"/>
                </w:tcPr>
                <w:p>
                  <w:pPr>
                    <w:jc w:val="center"/>
                    <w:rPr>
                      <w:szCs w:val="21"/>
                    </w:rPr>
                  </w:pPr>
                </w:p>
              </w:tc>
              <w:tc>
                <w:tcPr>
                  <w:tcW w:w="1493" w:type="pct"/>
                  <w:tcBorders>
                    <w:top w:val="single" w:color="auto" w:sz="4" w:space="0"/>
                    <w:left w:val="single" w:color="auto" w:sz="4" w:space="0"/>
                    <w:bottom w:val="single" w:color="auto" w:sz="4" w:space="0"/>
                  </w:tcBorders>
                  <w:vAlign w:val="center"/>
                </w:tcPr>
                <w:p>
                  <w:pPr>
                    <w:jc w:val="center"/>
                    <w:rPr>
                      <w:szCs w:val="21"/>
                    </w:rPr>
                  </w:pPr>
                  <w:r>
                    <w:rPr>
                      <w:rFonts w:ascii="Times New Roman" w:hAnsi="Times New Roman" w:cs="Times New Roman"/>
                      <w:szCs w:val="21"/>
                    </w:rPr>
                    <w:t>增加厂区地面清扫频率，不定时洒水抑尘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986" w:type="pct"/>
                  <w:vMerge w:val="continue"/>
                  <w:tcBorders>
                    <w:bottom w:val="single" w:color="auto" w:sz="4" w:space="0"/>
                    <w:right w:val="single" w:color="auto" w:sz="4" w:space="0"/>
                  </w:tcBorders>
                  <w:vAlign w:val="center"/>
                </w:tcPr>
                <w:p>
                  <w:pPr>
                    <w:jc w:val="center"/>
                    <w:rPr>
                      <w:szCs w:val="21"/>
                    </w:rPr>
                  </w:pPr>
                </w:p>
              </w:tc>
              <w:tc>
                <w:tcPr>
                  <w:tcW w:w="1545" w:type="pct"/>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输送带粉尘</w:t>
                  </w:r>
                </w:p>
              </w:tc>
              <w:tc>
                <w:tcPr>
                  <w:tcW w:w="974" w:type="pct"/>
                  <w:vMerge w:val="continue"/>
                  <w:tcBorders>
                    <w:left w:val="single" w:color="auto" w:sz="4" w:space="0"/>
                    <w:bottom w:val="single" w:color="auto" w:sz="4" w:space="0"/>
                    <w:right w:val="single" w:color="auto" w:sz="4" w:space="0"/>
                  </w:tcBorders>
                  <w:vAlign w:val="center"/>
                </w:tcPr>
                <w:p>
                  <w:pPr>
                    <w:jc w:val="center"/>
                    <w:rPr>
                      <w:szCs w:val="21"/>
                    </w:rPr>
                  </w:pPr>
                </w:p>
              </w:tc>
              <w:tc>
                <w:tcPr>
                  <w:tcW w:w="1493" w:type="pct"/>
                  <w:tcBorders>
                    <w:top w:val="single" w:color="auto" w:sz="4" w:space="0"/>
                    <w:left w:val="single" w:color="auto" w:sz="4" w:space="0"/>
                    <w:bottom w:val="single" w:color="auto" w:sz="4" w:space="0"/>
                  </w:tcBorders>
                  <w:vAlign w:val="center"/>
                </w:tcPr>
                <w:p>
                  <w:pPr>
                    <w:jc w:val="center"/>
                    <w:rPr>
                      <w:szCs w:val="21"/>
                    </w:rPr>
                  </w:pPr>
                  <w:r>
                    <w:rPr>
                      <w:rFonts w:ascii="Times New Roman" w:hAnsi="Times New Roman" w:cs="Times New Roman"/>
                      <w:szCs w:val="21"/>
                    </w:rPr>
                    <w:t>道路硬化、车辆封闭遮盖、道路洒水降尘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6" w:type="pct"/>
                  <w:vMerge w:val="restart"/>
                  <w:tcBorders>
                    <w:top w:val="single" w:color="auto" w:sz="4" w:space="0"/>
                    <w:right w:val="single" w:color="auto" w:sz="4" w:space="0"/>
                  </w:tcBorders>
                  <w:vAlign w:val="center"/>
                </w:tcPr>
                <w:p>
                  <w:pPr>
                    <w:jc w:val="center"/>
                    <w:rPr>
                      <w:szCs w:val="21"/>
                    </w:rPr>
                  </w:pPr>
                  <w:r>
                    <w:rPr>
                      <w:szCs w:val="21"/>
                    </w:rPr>
                    <w:t>废水</w:t>
                  </w:r>
                </w:p>
              </w:tc>
              <w:tc>
                <w:tcPr>
                  <w:tcW w:w="1545" w:type="pct"/>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生活污水</w:t>
                  </w:r>
                </w:p>
              </w:tc>
              <w:tc>
                <w:tcPr>
                  <w:tcW w:w="974" w:type="pct"/>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pH、COD、 BOD</w:t>
                  </w:r>
                  <w:r>
                    <w:rPr>
                      <w:szCs w:val="21"/>
                      <w:vertAlign w:val="subscript"/>
                    </w:rPr>
                    <w:t>5</w:t>
                  </w:r>
                  <w:r>
                    <w:rPr>
                      <w:szCs w:val="21"/>
                    </w:rPr>
                    <w:t>、SS、NH</w:t>
                  </w:r>
                  <w:r>
                    <w:rPr>
                      <w:szCs w:val="21"/>
                      <w:vertAlign w:val="subscript"/>
                    </w:rPr>
                    <w:t>3</w:t>
                  </w:r>
                  <w:r>
                    <w:rPr>
                      <w:szCs w:val="21"/>
                    </w:rPr>
                    <w:t>-N</w:t>
                  </w:r>
                </w:p>
              </w:tc>
              <w:tc>
                <w:tcPr>
                  <w:tcW w:w="1493" w:type="pct"/>
                  <w:tcBorders>
                    <w:top w:val="single" w:color="auto" w:sz="4" w:space="0"/>
                    <w:left w:val="single" w:color="auto" w:sz="4" w:space="0"/>
                    <w:bottom w:val="single" w:color="auto" w:sz="4" w:space="0"/>
                  </w:tcBorders>
                  <w:vAlign w:val="center"/>
                </w:tcPr>
                <w:p>
                  <w:pPr>
                    <w:jc w:val="center"/>
                    <w:rPr>
                      <w:szCs w:val="21"/>
                    </w:rPr>
                  </w:pPr>
                  <w:r>
                    <w:rPr>
                      <w:szCs w:val="21"/>
                    </w:rPr>
                    <w:t>经化粪池处理后委托当地居民定期清掏，不外排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6" w:type="pct"/>
                  <w:vMerge w:val="continue"/>
                  <w:tcBorders>
                    <w:right w:val="single" w:color="auto" w:sz="4" w:space="0"/>
                  </w:tcBorders>
                  <w:vAlign w:val="center"/>
                </w:tcPr>
                <w:p>
                  <w:pPr>
                    <w:jc w:val="center"/>
                    <w:rPr>
                      <w:szCs w:val="21"/>
                    </w:rPr>
                  </w:pPr>
                </w:p>
              </w:tc>
              <w:tc>
                <w:tcPr>
                  <w:tcW w:w="1545" w:type="pct"/>
                  <w:tcBorders>
                    <w:top w:val="single" w:color="auto" w:sz="4" w:space="0"/>
                    <w:left w:val="single" w:color="auto" w:sz="4" w:space="0"/>
                    <w:bottom w:val="single" w:color="auto" w:sz="4" w:space="0"/>
                    <w:right w:val="single" w:color="auto" w:sz="4" w:space="0"/>
                  </w:tcBorders>
                  <w:vAlign w:val="center"/>
                </w:tcPr>
                <w:p>
                  <w:pPr>
                    <w:jc w:val="center"/>
                    <w:rPr>
                      <w:rFonts w:eastAsia="宋体"/>
                      <w:szCs w:val="21"/>
                    </w:rPr>
                  </w:pPr>
                  <w:r>
                    <w:rPr>
                      <w:rFonts w:hint="eastAsia"/>
                      <w:szCs w:val="21"/>
                    </w:rPr>
                    <w:t>生产废水</w:t>
                  </w:r>
                </w:p>
              </w:tc>
              <w:tc>
                <w:tcPr>
                  <w:tcW w:w="974" w:type="pct"/>
                  <w:tcBorders>
                    <w:top w:val="single" w:color="auto" w:sz="4" w:space="0"/>
                    <w:left w:val="single" w:color="auto" w:sz="4" w:space="0"/>
                    <w:bottom w:val="single" w:color="auto" w:sz="4" w:space="0"/>
                    <w:right w:val="single" w:color="auto" w:sz="4" w:space="0"/>
                  </w:tcBorders>
                  <w:vAlign w:val="center"/>
                </w:tcPr>
                <w:p>
                  <w:pPr>
                    <w:jc w:val="center"/>
                    <w:rPr>
                      <w:rFonts w:eastAsia="宋体"/>
                      <w:szCs w:val="21"/>
                    </w:rPr>
                  </w:pPr>
                  <w:r>
                    <w:rPr>
                      <w:rFonts w:hint="eastAsia"/>
                      <w:szCs w:val="21"/>
                    </w:rPr>
                    <w:t>SS</w:t>
                  </w:r>
                </w:p>
              </w:tc>
              <w:tc>
                <w:tcPr>
                  <w:tcW w:w="1493" w:type="pct"/>
                  <w:tcBorders>
                    <w:top w:val="single" w:color="auto" w:sz="4" w:space="0"/>
                    <w:left w:val="single" w:color="auto" w:sz="4" w:space="0"/>
                    <w:bottom w:val="single" w:color="auto" w:sz="4" w:space="0"/>
                  </w:tcBorders>
                  <w:vAlign w:val="center"/>
                </w:tcPr>
                <w:p>
                  <w:pPr>
                    <w:jc w:val="center"/>
                    <w:rPr>
                      <w:szCs w:val="21"/>
                    </w:rPr>
                  </w:pPr>
                  <w:r>
                    <w:rPr>
                      <w:rFonts w:hint="eastAsia"/>
                      <w:iCs/>
                      <w:snapToGrid w:val="0"/>
                      <w:kern w:val="0"/>
                      <w:szCs w:val="18"/>
                    </w:rPr>
                    <w:t>其中污泥堆场及成品堆场渗滤液经收集池收集后，同洗沙废水一同进入沉淀系统经沉淀后</w:t>
                  </w:r>
                  <w:r>
                    <w:rPr>
                      <w:rFonts w:hint="eastAsia"/>
                      <w:iCs/>
                      <w:snapToGrid w:val="0"/>
                      <w:kern w:val="0"/>
                      <w:szCs w:val="21"/>
                    </w:rPr>
                    <w:t>上清液通过水泵抽至清水池回用于生产。</w:t>
                  </w:r>
                  <w:r>
                    <w:rPr>
                      <w:rFonts w:hint="eastAsia" w:ascii="Times New Roman" w:hAnsi="Times New Roman" w:eastAsia="宋体" w:cs="Times New Roman"/>
                      <w:szCs w:val="21"/>
                    </w:rPr>
                    <w:t>本次环评要求在最后100</w:t>
                  </w:r>
                  <w:r>
                    <w:rPr>
                      <w:rFonts w:ascii="Times New Roman" w:hAnsi="Times New Roman" w:eastAsia="宋体" w:cs="Times New Roman"/>
                      <w:szCs w:val="21"/>
                      <w:shd w:val="clear" w:color="auto" w:fill="FFFFFF"/>
                    </w:rPr>
                    <w:t>m</w:t>
                  </w:r>
                  <w:r>
                    <w:rPr>
                      <w:rFonts w:ascii="Times New Roman" w:hAnsi="Times New Roman" w:eastAsia="宋体" w:cs="Times New Roman"/>
                      <w:szCs w:val="21"/>
                      <w:shd w:val="clear" w:color="auto" w:fill="FFFFFF"/>
                      <w:vertAlign w:val="superscript"/>
                    </w:rPr>
                    <w:t>3</w:t>
                  </w:r>
                  <w:r>
                    <w:rPr>
                      <w:rFonts w:hint="eastAsia" w:ascii="Times New Roman" w:hAnsi="Times New Roman" w:eastAsia="宋体" w:cs="Times New Roman"/>
                      <w:szCs w:val="21"/>
                      <w:shd w:val="clear" w:color="auto" w:fill="FFFFFF"/>
                    </w:rPr>
                    <w:t>处设置加药系统，按水质情况，投加絮凝沉淀剂，缩短沉淀时间，保障废水经沉淀处理后满足生产需要。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6" w:type="pct"/>
                  <w:vMerge w:val="continue"/>
                  <w:tcBorders>
                    <w:right w:val="single" w:color="auto" w:sz="4" w:space="0"/>
                  </w:tcBorders>
                  <w:vAlign w:val="center"/>
                </w:tcPr>
                <w:p>
                  <w:pPr>
                    <w:jc w:val="center"/>
                    <w:rPr>
                      <w:szCs w:val="21"/>
                    </w:rPr>
                  </w:pPr>
                </w:p>
              </w:tc>
              <w:tc>
                <w:tcPr>
                  <w:tcW w:w="1545" w:type="pct"/>
                  <w:tcBorders>
                    <w:top w:val="single" w:color="auto" w:sz="4" w:space="0"/>
                    <w:left w:val="single" w:color="auto" w:sz="4" w:space="0"/>
                    <w:bottom w:val="single" w:color="auto" w:sz="4" w:space="0"/>
                    <w:right w:val="single" w:color="auto" w:sz="4" w:space="0"/>
                  </w:tcBorders>
                  <w:vAlign w:val="center"/>
                </w:tcPr>
                <w:p>
                  <w:pPr>
                    <w:tabs>
                      <w:tab w:val="left" w:pos="3345"/>
                    </w:tabs>
                    <w:snapToGrid w:val="0"/>
                    <w:spacing w:line="340" w:lineRule="exact"/>
                    <w:jc w:val="center"/>
                    <w:rPr>
                      <w:szCs w:val="21"/>
                    </w:rPr>
                  </w:pPr>
                  <w:r>
                    <w:rPr>
                      <w:rFonts w:hint="eastAsia"/>
                      <w:iCs/>
                      <w:snapToGrid w:val="0"/>
                      <w:kern w:val="0"/>
                      <w:szCs w:val="18"/>
                    </w:rPr>
                    <w:t>车辆清洗用水</w:t>
                  </w:r>
                </w:p>
              </w:tc>
              <w:tc>
                <w:tcPr>
                  <w:tcW w:w="974" w:type="pct"/>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SS</w:t>
                  </w:r>
                </w:p>
              </w:tc>
              <w:tc>
                <w:tcPr>
                  <w:tcW w:w="1493" w:type="pct"/>
                  <w:tcBorders>
                    <w:top w:val="single" w:color="auto" w:sz="4" w:space="0"/>
                    <w:left w:val="single" w:color="auto" w:sz="4" w:space="0"/>
                    <w:bottom w:val="single" w:color="auto" w:sz="4" w:space="0"/>
                  </w:tcBorders>
                  <w:vAlign w:val="center"/>
                </w:tcPr>
                <w:p>
                  <w:pPr>
                    <w:tabs>
                      <w:tab w:val="left" w:pos="3345"/>
                    </w:tabs>
                    <w:snapToGrid w:val="0"/>
                    <w:spacing w:line="340" w:lineRule="exact"/>
                    <w:jc w:val="left"/>
                    <w:rPr>
                      <w:iCs/>
                      <w:snapToGrid w:val="0"/>
                      <w:kern w:val="0"/>
                      <w:szCs w:val="18"/>
                    </w:rPr>
                  </w:pPr>
                  <w:r>
                    <w:rPr>
                      <w:spacing w:val="-1"/>
                    </w:rPr>
                    <w:t>全部进入洗车废水沉淀池沉淀后回用于</w:t>
                  </w:r>
                  <w:r>
                    <w:rPr>
                      <w:rFonts w:hint="eastAsia"/>
                      <w:spacing w:val="-1"/>
                    </w:rPr>
                    <w:t>洒水降尘</w:t>
                  </w:r>
                  <w:r>
                    <w:rPr>
                      <w:spacing w:val="-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6" w:type="pct"/>
                  <w:vMerge w:val="continue"/>
                  <w:tcBorders>
                    <w:right w:val="single" w:color="auto" w:sz="4" w:space="0"/>
                  </w:tcBorders>
                  <w:vAlign w:val="center"/>
                </w:tcPr>
                <w:p>
                  <w:pPr>
                    <w:jc w:val="center"/>
                    <w:rPr>
                      <w:szCs w:val="21"/>
                    </w:rPr>
                  </w:pPr>
                </w:p>
              </w:tc>
              <w:tc>
                <w:tcPr>
                  <w:tcW w:w="1545" w:type="pct"/>
                  <w:tcBorders>
                    <w:top w:val="single" w:color="auto" w:sz="4" w:space="0"/>
                    <w:left w:val="single" w:color="auto" w:sz="4" w:space="0"/>
                    <w:bottom w:val="single" w:color="auto" w:sz="4" w:space="0"/>
                    <w:right w:val="single" w:color="auto" w:sz="4" w:space="0"/>
                  </w:tcBorders>
                  <w:vAlign w:val="center"/>
                </w:tcPr>
                <w:p>
                  <w:pPr>
                    <w:tabs>
                      <w:tab w:val="left" w:pos="3345"/>
                    </w:tabs>
                    <w:snapToGrid w:val="0"/>
                    <w:spacing w:line="340" w:lineRule="exact"/>
                    <w:jc w:val="center"/>
                    <w:rPr>
                      <w:szCs w:val="21"/>
                    </w:rPr>
                  </w:pPr>
                  <w:r>
                    <w:rPr>
                      <w:rFonts w:hint="eastAsia"/>
                      <w:iCs/>
                      <w:snapToGrid w:val="0"/>
                      <w:kern w:val="0"/>
                      <w:szCs w:val="18"/>
                    </w:rPr>
                    <w:t>初期雨水</w:t>
                  </w:r>
                </w:p>
              </w:tc>
              <w:tc>
                <w:tcPr>
                  <w:tcW w:w="974" w:type="pct"/>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SS</w:t>
                  </w:r>
                </w:p>
              </w:tc>
              <w:tc>
                <w:tcPr>
                  <w:tcW w:w="1493" w:type="pct"/>
                  <w:tcBorders>
                    <w:top w:val="single" w:color="auto" w:sz="4" w:space="0"/>
                    <w:left w:val="single" w:color="auto" w:sz="4" w:space="0"/>
                    <w:bottom w:val="single" w:color="auto" w:sz="4" w:space="0"/>
                  </w:tcBorders>
                  <w:vAlign w:val="center"/>
                </w:tcPr>
                <w:p>
                  <w:pPr>
                    <w:tabs>
                      <w:tab w:val="left" w:pos="3345"/>
                    </w:tabs>
                    <w:snapToGrid w:val="0"/>
                    <w:spacing w:line="340" w:lineRule="exact"/>
                    <w:jc w:val="left"/>
                    <w:rPr>
                      <w:iCs/>
                      <w:snapToGrid w:val="0"/>
                      <w:kern w:val="0"/>
                      <w:szCs w:val="18"/>
                    </w:rPr>
                  </w:pPr>
                  <w:r>
                    <w:rPr>
                      <w:spacing w:val="-7"/>
                    </w:rPr>
                    <w:t>初期雨水沉淀后作为生产用水回用</w:t>
                  </w:r>
                  <w:r>
                    <w:rPr>
                      <w:spacing w:val="-8"/>
                    </w:rPr>
                    <w:t>于生产、不外排</w:t>
                  </w:r>
                  <w:r>
                    <w:rPr>
                      <w:spacing w:val="-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6" w:type="pct"/>
                  <w:tcBorders>
                    <w:top w:val="single" w:color="auto" w:sz="4" w:space="0"/>
                    <w:bottom w:val="single" w:color="auto" w:sz="4" w:space="0"/>
                    <w:right w:val="single" w:color="auto" w:sz="4" w:space="0"/>
                  </w:tcBorders>
                  <w:vAlign w:val="center"/>
                </w:tcPr>
                <w:p>
                  <w:pPr>
                    <w:jc w:val="center"/>
                    <w:rPr>
                      <w:szCs w:val="21"/>
                    </w:rPr>
                  </w:pPr>
                  <w:r>
                    <w:rPr>
                      <w:szCs w:val="21"/>
                    </w:rPr>
                    <w:t>噪声</w:t>
                  </w:r>
                </w:p>
              </w:tc>
              <w:tc>
                <w:tcPr>
                  <w:tcW w:w="1545" w:type="pct"/>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车辆行驶、设备噪声</w:t>
                  </w:r>
                </w:p>
              </w:tc>
              <w:tc>
                <w:tcPr>
                  <w:tcW w:w="974" w:type="pct"/>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Leq（A）</w:t>
                  </w:r>
                </w:p>
              </w:tc>
              <w:tc>
                <w:tcPr>
                  <w:tcW w:w="1493" w:type="pct"/>
                  <w:tcBorders>
                    <w:top w:val="single" w:color="auto" w:sz="4" w:space="0"/>
                    <w:left w:val="single" w:color="auto" w:sz="4" w:space="0"/>
                    <w:bottom w:val="single" w:color="auto" w:sz="4" w:space="0"/>
                  </w:tcBorders>
                  <w:vAlign w:val="center"/>
                </w:tcPr>
                <w:p>
                  <w:pPr>
                    <w:jc w:val="center"/>
                    <w:rPr>
                      <w:szCs w:val="21"/>
                    </w:rPr>
                  </w:pPr>
                  <w:r>
                    <w:rPr>
                      <w:szCs w:val="21"/>
                    </w:rPr>
                    <w:t>基采取加强管理、选用低噪声设备、车间合理布局、减震垫、厂房隔声、绿化吸收、距离衰减等措施削减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6" w:type="pct"/>
                  <w:vMerge w:val="restart"/>
                  <w:tcBorders>
                    <w:top w:val="single" w:color="auto" w:sz="4" w:space="0"/>
                    <w:right w:val="single" w:color="auto" w:sz="4" w:space="0"/>
                  </w:tcBorders>
                  <w:vAlign w:val="center"/>
                </w:tcPr>
                <w:p>
                  <w:pPr>
                    <w:jc w:val="center"/>
                    <w:rPr>
                      <w:szCs w:val="21"/>
                    </w:rPr>
                  </w:pPr>
                  <w:r>
                    <w:rPr>
                      <w:szCs w:val="21"/>
                    </w:rPr>
                    <w:t>固体废物</w:t>
                  </w:r>
                </w:p>
              </w:tc>
              <w:tc>
                <w:tcPr>
                  <w:tcW w:w="2520" w:type="pct"/>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生活垃圾</w:t>
                  </w:r>
                </w:p>
              </w:tc>
              <w:tc>
                <w:tcPr>
                  <w:tcW w:w="1493" w:type="pct"/>
                  <w:tcBorders>
                    <w:top w:val="single" w:color="auto" w:sz="4" w:space="0"/>
                    <w:left w:val="single" w:color="auto" w:sz="4" w:space="0"/>
                  </w:tcBorders>
                  <w:vAlign w:val="center"/>
                </w:tcPr>
                <w:p>
                  <w:pPr>
                    <w:adjustRightInd w:val="0"/>
                    <w:snapToGrid w:val="0"/>
                    <w:rPr>
                      <w:szCs w:val="21"/>
                    </w:rPr>
                  </w:pPr>
                  <w:r>
                    <w:rPr>
                      <w:rFonts w:ascii="Times New Roman" w:hAnsi="Times New Roman" w:eastAsia="宋体" w:cs="Times New Roman"/>
                      <w:kern w:val="0"/>
                      <w:szCs w:val="21"/>
                    </w:rPr>
                    <w:t>办公生活区产生的生活垃圾经垃圾桶收集后，由环卫部门清运处置。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6" w:type="pct"/>
                  <w:vMerge w:val="continue"/>
                  <w:tcBorders>
                    <w:right w:val="single" w:color="auto" w:sz="4" w:space="0"/>
                  </w:tcBorders>
                  <w:vAlign w:val="center"/>
                </w:tcPr>
                <w:p>
                  <w:pPr>
                    <w:jc w:val="center"/>
                    <w:rPr>
                      <w:szCs w:val="21"/>
                    </w:rPr>
                  </w:pPr>
                </w:p>
              </w:tc>
              <w:tc>
                <w:tcPr>
                  <w:tcW w:w="2520" w:type="pct"/>
                  <w:gridSpan w:val="2"/>
                  <w:tcBorders>
                    <w:top w:val="single" w:color="auto" w:sz="4" w:space="0"/>
                    <w:left w:val="single" w:color="auto" w:sz="4" w:space="0"/>
                    <w:bottom w:val="single" w:color="auto" w:sz="4" w:space="0"/>
                    <w:right w:val="single" w:color="auto" w:sz="4" w:space="0"/>
                  </w:tcBorders>
                  <w:vAlign w:val="center"/>
                </w:tcPr>
                <w:p>
                  <w:pPr>
                    <w:jc w:val="center"/>
                    <w:rPr>
                      <w:rFonts w:eastAsia="宋体"/>
                      <w:szCs w:val="21"/>
                    </w:rPr>
                  </w:pPr>
                  <w:r>
                    <w:rPr>
                      <w:rFonts w:hint="eastAsia"/>
                      <w:szCs w:val="21"/>
                    </w:rPr>
                    <w:t>沉淀池污泥</w:t>
                  </w:r>
                </w:p>
              </w:tc>
              <w:tc>
                <w:tcPr>
                  <w:tcW w:w="1493" w:type="pct"/>
                  <w:tcBorders>
                    <w:top w:val="single" w:color="auto" w:sz="4" w:space="0"/>
                    <w:left w:val="single" w:color="auto" w:sz="4" w:space="0"/>
                  </w:tcBorders>
                  <w:vAlign w:val="center"/>
                </w:tcPr>
                <w:p>
                  <w:pPr>
                    <w:adjustRightInd w:val="0"/>
                    <w:snapToGrid w:val="0"/>
                    <w:rPr>
                      <w:szCs w:val="21"/>
                    </w:rPr>
                  </w:pPr>
                  <w:r>
                    <w:rPr>
                      <w:rFonts w:ascii="Times New Roman" w:hAnsi="Times New Roman" w:eastAsia="宋体" w:cs="Times New Roman"/>
                      <w:kern w:val="0"/>
                      <w:szCs w:val="21"/>
                    </w:rPr>
                    <w:t>污泥清掏至</w:t>
                  </w:r>
                  <w:r>
                    <w:rPr>
                      <w:rFonts w:hint="eastAsia" w:ascii="Times New Roman" w:hAnsi="Times New Roman" w:eastAsia="宋体" w:cs="Times New Roman"/>
                      <w:kern w:val="0"/>
                      <w:szCs w:val="21"/>
                    </w:rPr>
                    <w:t>污泥</w:t>
                  </w:r>
                  <w:r>
                    <w:rPr>
                      <w:rFonts w:ascii="Times New Roman" w:hAnsi="Times New Roman" w:eastAsia="宋体" w:cs="Times New Roman"/>
                      <w:kern w:val="0"/>
                      <w:szCs w:val="21"/>
                    </w:rPr>
                    <w:t>堆场暂存，后外售给环保砖厂作为原料生产环保砖。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6" w:type="pct"/>
                  <w:vMerge w:val="continue"/>
                  <w:tcBorders>
                    <w:right w:val="single" w:color="auto" w:sz="4" w:space="0"/>
                  </w:tcBorders>
                  <w:vAlign w:val="center"/>
                </w:tcPr>
                <w:p>
                  <w:pPr>
                    <w:jc w:val="center"/>
                    <w:rPr>
                      <w:szCs w:val="21"/>
                    </w:rPr>
                  </w:pPr>
                </w:p>
              </w:tc>
              <w:tc>
                <w:tcPr>
                  <w:tcW w:w="2520"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r>
                    <w:rPr>
                      <w:rFonts w:hint="eastAsia"/>
                      <w:szCs w:val="21"/>
                    </w:rPr>
                    <w:t>废润滑油</w:t>
                  </w:r>
                </w:p>
              </w:tc>
              <w:tc>
                <w:tcPr>
                  <w:tcW w:w="1493" w:type="pct"/>
                  <w:tcBorders>
                    <w:left w:val="single" w:color="auto" w:sz="4" w:space="0"/>
                  </w:tcBorders>
                  <w:vAlign w:val="center"/>
                </w:tcPr>
                <w:p>
                  <w:pPr>
                    <w:adjustRightInd w:val="0"/>
                    <w:snapToGrid w:val="0"/>
                    <w:rPr>
                      <w:szCs w:val="21"/>
                    </w:rPr>
                  </w:pPr>
                  <w:r>
                    <w:rPr>
                      <w:rFonts w:ascii="Times New Roman" w:hAnsi="Times New Roman" w:eastAsia="宋体" w:cs="Times New Roman"/>
                      <w:szCs w:val="21"/>
                    </w:rPr>
                    <w:t>收集后暂存在危废暂存间内，委托有资质单位清运处置。</w:t>
                  </w:r>
                </w:p>
              </w:tc>
            </w:tr>
          </w:tbl>
          <w:p>
            <w:pPr>
              <w:autoSpaceDE w:val="0"/>
              <w:autoSpaceDN w:val="0"/>
              <w:snapToGrid w:val="0"/>
              <w:spacing w:line="360" w:lineRule="auto"/>
              <w:ind w:firstLine="480" w:firstLineChars="200"/>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68" w:type="pct"/>
            <w:vAlign w:val="center"/>
          </w:tcPr>
          <w:p>
            <w:pPr>
              <w:adjustRightInd w:val="0"/>
              <w:snapToGrid w:val="0"/>
              <w:jc w:val="center"/>
              <w:rPr>
                <w:rFonts w:ascii="Times New Roman" w:hAnsi="Times New Roman" w:eastAsia="宋体" w:cs="Times New Roman"/>
                <w:kern w:val="0"/>
                <w:sz w:val="22"/>
                <w:szCs w:val="22"/>
                <w:lang w:bidi="ar"/>
              </w:rPr>
            </w:pPr>
            <w:r>
              <w:rPr>
                <w:rFonts w:ascii="Times New Roman" w:hAnsi="Times New Roman" w:eastAsia="宋体" w:cs="Times New Roman"/>
                <w:kern w:val="0"/>
                <w:sz w:val="24"/>
                <w:lang w:bidi="ar"/>
              </w:rPr>
              <w:t>与项目有关的原有环境污染问题</w:t>
            </w:r>
          </w:p>
        </w:tc>
        <w:tc>
          <w:tcPr>
            <w:tcW w:w="4731" w:type="pct"/>
          </w:tcPr>
          <w:p>
            <w:pPr>
              <w:spacing w:line="360" w:lineRule="auto"/>
              <w:ind w:firstLine="480" w:firstLineChars="200"/>
              <w:rPr>
                <w:rFonts w:ascii="Times New Roman" w:hAnsi="Times New Roman" w:eastAsia="宋体" w:cs="Times New Roman"/>
                <w:kern w:val="0"/>
                <w:sz w:val="22"/>
                <w:szCs w:val="22"/>
                <w:lang w:bidi="ar"/>
              </w:rPr>
            </w:pPr>
            <w:r>
              <w:rPr>
                <w:rFonts w:ascii="Times New Roman" w:hAnsi="Times New Roman" w:eastAsia="宋体" w:cs="Times New Roman"/>
                <w:sz w:val="24"/>
              </w:rPr>
              <w:t>本项目为新建项目，</w:t>
            </w:r>
            <w:r>
              <w:rPr>
                <w:rFonts w:ascii="Times New Roman" w:hAnsi="Times New Roman" w:eastAsia="宋体" w:cs="Times New Roman"/>
                <w:kern w:val="0"/>
                <w:sz w:val="24"/>
                <w:lang w:bidi="ar"/>
              </w:rPr>
              <w:t>不存在与本项目有关的原有环境污染问题。</w:t>
            </w:r>
          </w:p>
        </w:tc>
      </w:tr>
    </w:tbl>
    <w:p>
      <w:pPr>
        <w:spacing w:line="360" w:lineRule="auto"/>
        <w:rPr>
          <w:rFonts w:ascii="Times New Roman" w:hAnsi="Times New Roman" w:eastAsia="宋体" w:cs="Times New Roman"/>
          <w:kern w:val="0"/>
          <w:sz w:val="30"/>
          <w:szCs w:val="30"/>
          <w:lang w:bidi="ar"/>
        </w:rPr>
        <w:sectPr>
          <w:footerReference r:id="rId4" w:type="default"/>
          <w:pgSz w:w="11906" w:h="16838"/>
          <w:pgMar w:top="1440" w:right="1800" w:bottom="1440" w:left="1800" w:header="851" w:footer="992" w:gutter="0"/>
          <w:cols w:space="425" w:num="1"/>
          <w:docGrid w:type="lines" w:linePitch="312" w:charSpace="0"/>
        </w:sectPr>
      </w:pPr>
    </w:p>
    <w:p>
      <w:pPr>
        <w:pStyle w:val="2"/>
        <w:adjustRightInd w:val="0"/>
        <w:snapToGrid w:val="0"/>
        <w:spacing w:before="0" w:after="0" w:line="240" w:lineRule="auto"/>
        <w:jc w:val="center"/>
        <w:rPr>
          <w:rFonts w:ascii="Times New Roman" w:hAnsi="Times New Roman" w:eastAsia="宋体" w:cs="Times New Roman"/>
        </w:rPr>
      </w:pPr>
      <w:bookmarkStart w:id="292" w:name="_Toc16987"/>
      <w:r>
        <w:rPr>
          <w:rFonts w:ascii="Times New Roman" w:hAnsi="Times New Roman" w:eastAsia="宋体" w:cs="Times New Roman"/>
        </w:rPr>
        <w:t>三、区域环境质量现状、环境保护目标及评价标准</w:t>
      </w:r>
      <w:bookmarkEnd w:id="292"/>
    </w:p>
    <w:tbl>
      <w:tblPr>
        <w:tblStyle w:val="30"/>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8"/>
        <w:gridCol w:w="8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69" w:type="pct"/>
            <w:vAlign w:val="center"/>
          </w:tcPr>
          <w:p>
            <w:pPr>
              <w:spacing w:line="360" w:lineRule="auto"/>
              <w:jc w:val="center"/>
              <w:rPr>
                <w:rFonts w:ascii="Times New Roman" w:hAnsi="Times New Roman" w:eastAsia="宋体" w:cs="Times New Roman"/>
                <w:kern w:val="0"/>
                <w:sz w:val="22"/>
                <w:szCs w:val="22"/>
                <w:lang w:bidi="ar"/>
              </w:rPr>
            </w:pPr>
            <w:r>
              <w:rPr>
                <w:rFonts w:ascii="Times New Roman" w:hAnsi="Times New Roman" w:eastAsia="宋体" w:cs="Times New Roman"/>
                <w:kern w:val="0"/>
                <w:sz w:val="24"/>
                <w:lang w:bidi="ar"/>
              </w:rPr>
              <w:t>区域环境质量现状</w:t>
            </w:r>
          </w:p>
        </w:tc>
        <w:tc>
          <w:tcPr>
            <w:tcW w:w="4730" w:type="pct"/>
          </w:tcPr>
          <w:p>
            <w:pPr>
              <w:adjustRightInd w:val="0"/>
              <w:snapToGrid w:val="0"/>
              <w:spacing w:line="360" w:lineRule="auto"/>
              <w:ind w:firstLine="482" w:firstLineChars="200"/>
              <w:rPr>
                <w:rFonts w:ascii="Times New Roman" w:hAnsi="Times New Roman" w:eastAsia="宋体" w:cs="Times New Roman"/>
                <w:b/>
                <w:bCs/>
                <w:sz w:val="24"/>
              </w:rPr>
            </w:pPr>
            <w:r>
              <w:rPr>
                <w:rFonts w:ascii="Times New Roman" w:hAnsi="Times New Roman" w:eastAsia="宋体" w:cs="Times New Roman"/>
                <w:b/>
                <w:bCs/>
                <w:sz w:val="24"/>
              </w:rPr>
              <w:t>1、环境空气质量现状</w:t>
            </w:r>
          </w:p>
          <w:p>
            <w:pPr>
              <w:adjustRightInd w:val="0"/>
              <w:snapToGrid w:val="0"/>
              <w:spacing w:line="360" w:lineRule="auto"/>
              <w:ind w:firstLine="482" w:firstLineChars="200"/>
              <w:rPr>
                <w:rFonts w:ascii="Times New Roman" w:hAnsi="Times New Roman" w:eastAsia="宋体" w:cs="Times New Roman"/>
                <w:b/>
                <w:bCs/>
                <w:sz w:val="24"/>
              </w:rPr>
            </w:pPr>
            <w:r>
              <w:rPr>
                <w:rFonts w:ascii="Times New Roman" w:hAnsi="Times New Roman" w:eastAsia="宋体" w:cs="Times New Roman"/>
                <w:b/>
                <w:bCs/>
                <w:sz w:val="24"/>
              </w:rPr>
              <w:t>（1）本项目环境空气质量现状</w:t>
            </w:r>
          </w:p>
          <w:p>
            <w:pPr>
              <w:autoSpaceDE w:val="0"/>
              <w:autoSpaceDN w:val="0"/>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bCs/>
                <w:sz w:val="24"/>
              </w:rPr>
              <w:t>据现场调查，项目区为</w:t>
            </w:r>
            <w:r>
              <w:rPr>
                <w:rFonts w:ascii="Times New Roman" w:hAnsi="Times New Roman" w:eastAsia="宋体" w:cs="Times New Roman"/>
                <w:sz w:val="24"/>
              </w:rPr>
              <w:t>云县爱华镇</w:t>
            </w:r>
            <w:r>
              <w:rPr>
                <w:rFonts w:hint="eastAsia" w:ascii="Times New Roman" w:hAnsi="Times New Roman" w:eastAsia="宋体" w:cs="Times New Roman"/>
                <w:sz w:val="24"/>
              </w:rPr>
              <w:t>河湾村</w:t>
            </w:r>
            <w:r>
              <w:rPr>
                <w:rFonts w:ascii="Times New Roman" w:hAnsi="Times New Roman" w:eastAsia="宋体" w:cs="Times New Roman"/>
                <w:bCs/>
                <w:sz w:val="24"/>
              </w:rPr>
              <w:t>。环境空气质量功能区划属于二类区，区域环境空气质量执行《环境空气质量标准》（GB3095-2012）二级标准，</w:t>
            </w:r>
            <w:r>
              <w:rPr>
                <w:rFonts w:ascii="Times New Roman" w:hAnsi="Times New Roman" w:eastAsia="宋体" w:cs="Times New Roman"/>
                <w:sz w:val="24"/>
              </w:rPr>
              <w:t>根据</w:t>
            </w:r>
            <w:r>
              <w:rPr>
                <w:rFonts w:ascii="Times New Roman" w:hAnsi="Times New Roman" w:eastAsia="宋体" w:cs="Times New Roman"/>
                <w:bCs/>
                <w:sz w:val="24"/>
              </w:rPr>
              <w:t>临沧市生态环境局云县分局公布的</w:t>
            </w:r>
            <w:r>
              <w:rPr>
                <w:rFonts w:ascii="Times New Roman" w:hAnsi="Times New Roman" w:eastAsia="宋体" w:cs="Times New Roman"/>
                <w:sz w:val="24"/>
              </w:rPr>
              <w:t>《云县2022年环境空气质量信息》，2022年云县环境空气质量监测结果见下表。</w:t>
            </w:r>
          </w:p>
          <w:p>
            <w:pPr>
              <w:autoSpaceDE w:val="0"/>
              <w:autoSpaceDN w:val="0"/>
              <w:adjustRightInd w:val="0"/>
              <w:snapToGrid w:val="0"/>
              <w:jc w:val="center"/>
              <w:rPr>
                <w:rFonts w:ascii="Times New Roman" w:hAnsi="Times New Roman" w:eastAsia="宋体" w:cs="Times New Roman"/>
                <w:b/>
                <w:szCs w:val="21"/>
                <w:lang w:val="zh-CN"/>
              </w:rPr>
            </w:pPr>
            <w:r>
              <w:rPr>
                <w:rFonts w:ascii="Times New Roman" w:hAnsi="Times New Roman" w:eastAsia="宋体" w:cs="Times New Roman"/>
                <w:b/>
                <w:szCs w:val="21"/>
                <w:lang w:val="zh-CN"/>
              </w:rPr>
              <w:t>表3-</w:t>
            </w:r>
            <w:r>
              <w:rPr>
                <w:rFonts w:ascii="Times New Roman" w:hAnsi="Times New Roman" w:eastAsia="宋体" w:cs="Times New Roman"/>
                <w:b/>
                <w:szCs w:val="21"/>
              </w:rPr>
              <w:t>1</w:t>
            </w:r>
            <w:r>
              <w:rPr>
                <w:rFonts w:ascii="Times New Roman" w:hAnsi="Times New Roman" w:eastAsia="宋体" w:cs="Times New Roman"/>
                <w:b/>
                <w:szCs w:val="21"/>
                <w:lang w:val="zh-CN"/>
              </w:rPr>
              <w:t xml:space="preserve"> 环境空气质量现状评价表</w:t>
            </w:r>
          </w:p>
          <w:tbl>
            <w:tblPr>
              <w:tblStyle w:val="30"/>
              <w:tblW w:w="79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2483"/>
              <w:gridCol w:w="1455"/>
              <w:gridCol w:w="1374"/>
              <w:gridCol w:w="901"/>
              <w:gridCol w:w="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549" w:type="pct"/>
                  <w:vAlign w:val="center"/>
                </w:tcPr>
                <w:p>
                  <w:pPr>
                    <w:widowControl/>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污染物</w:t>
                  </w:r>
                </w:p>
              </w:tc>
              <w:tc>
                <w:tcPr>
                  <w:tcW w:w="1567" w:type="pct"/>
                  <w:vAlign w:val="center"/>
                </w:tcPr>
                <w:p>
                  <w:pPr>
                    <w:widowControl/>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评价指标</w:t>
                  </w:r>
                </w:p>
              </w:tc>
              <w:tc>
                <w:tcPr>
                  <w:tcW w:w="918" w:type="pct"/>
                  <w:vAlign w:val="center"/>
                </w:tcPr>
                <w:p>
                  <w:pPr>
                    <w:widowControl/>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现状浓度（µg/m</w:t>
                  </w:r>
                  <w:r>
                    <w:rPr>
                      <w:rFonts w:ascii="Times New Roman" w:hAnsi="Times New Roman" w:eastAsia="宋体" w:cs="Times New Roman"/>
                      <w:b/>
                      <w:szCs w:val="21"/>
                      <w:vertAlign w:val="superscript"/>
                    </w:rPr>
                    <w:t>3</w:t>
                  </w:r>
                  <w:r>
                    <w:rPr>
                      <w:rFonts w:ascii="Times New Roman" w:hAnsi="Times New Roman" w:eastAsia="宋体" w:cs="Times New Roman"/>
                      <w:b/>
                      <w:szCs w:val="21"/>
                    </w:rPr>
                    <w:t>）</w:t>
                  </w:r>
                </w:p>
              </w:tc>
              <w:tc>
                <w:tcPr>
                  <w:tcW w:w="867" w:type="pct"/>
                  <w:vAlign w:val="center"/>
                </w:tcPr>
                <w:p>
                  <w:pPr>
                    <w:widowControl/>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标准值（µg/m</w:t>
                  </w:r>
                  <w:r>
                    <w:rPr>
                      <w:rFonts w:ascii="Times New Roman" w:hAnsi="Times New Roman" w:eastAsia="宋体" w:cs="Times New Roman"/>
                      <w:b/>
                      <w:szCs w:val="21"/>
                      <w:vertAlign w:val="superscript"/>
                    </w:rPr>
                    <w:t>3</w:t>
                  </w:r>
                  <w:r>
                    <w:rPr>
                      <w:rFonts w:ascii="Times New Roman" w:hAnsi="Times New Roman" w:eastAsia="宋体" w:cs="Times New Roman"/>
                      <w:b/>
                      <w:szCs w:val="21"/>
                    </w:rPr>
                    <w:t>）</w:t>
                  </w:r>
                </w:p>
              </w:tc>
              <w:tc>
                <w:tcPr>
                  <w:tcW w:w="569" w:type="pct"/>
                  <w:vAlign w:val="center"/>
                </w:tcPr>
                <w:p>
                  <w:pPr>
                    <w:widowControl/>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占标率（%）</w:t>
                  </w:r>
                </w:p>
              </w:tc>
              <w:tc>
                <w:tcPr>
                  <w:tcW w:w="527" w:type="pct"/>
                  <w:vAlign w:val="center"/>
                </w:tcPr>
                <w:p>
                  <w:pPr>
                    <w:widowControl/>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549" w:type="pct"/>
                  <w:vAlign w:val="center"/>
                </w:tcPr>
                <w:p>
                  <w:pPr>
                    <w:widowControl/>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SO</w:t>
                  </w:r>
                  <w:r>
                    <w:rPr>
                      <w:rFonts w:ascii="Times New Roman" w:hAnsi="Times New Roman" w:eastAsia="宋体" w:cs="Times New Roman"/>
                      <w:szCs w:val="21"/>
                      <w:vertAlign w:val="subscript"/>
                    </w:rPr>
                    <w:t>2</w:t>
                  </w:r>
                </w:p>
              </w:tc>
              <w:tc>
                <w:tcPr>
                  <w:tcW w:w="1567" w:type="pct"/>
                  <w:vAlign w:val="center"/>
                </w:tcPr>
                <w:p>
                  <w:pPr>
                    <w:widowControl/>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年平均质量浓度</w:t>
                  </w:r>
                </w:p>
              </w:tc>
              <w:tc>
                <w:tcPr>
                  <w:tcW w:w="918" w:type="pct"/>
                  <w:vAlign w:val="center"/>
                </w:tcPr>
                <w:p>
                  <w:pPr>
                    <w:widowControl/>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26</w:t>
                  </w:r>
                </w:p>
              </w:tc>
              <w:tc>
                <w:tcPr>
                  <w:tcW w:w="867" w:type="pct"/>
                  <w:vAlign w:val="center"/>
                </w:tcPr>
                <w:p>
                  <w:pPr>
                    <w:widowControl/>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60</w:t>
                  </w:r>
                </w:p>
              </w:tc>
              <w:tc>
                <w:tcPr>
                  <w:tcW w:w="569" w:type="pct"/>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41.67</w:t>
                  </w:r>
                </w:p>
              </w:tc>
              <w:tc>
                <w:tcPr>
                  <w:tcW w:w="527" w:type="pct"/>
                  <w:vAlign w:val="center"/>
                </w:tcPr>
                <w:p>
                  <w:pPr>
                    <w:widowControl/>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549" w:type="pct"/>
                  <w:vAlign w:val="center"/>
                </w:tcPr>
                <w:p>
                  <w:pPr>
                    <w:widowControl/>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NO</w:t>
                  </w:r>
                  <w:r>
                    <w:rPr>
                      <w:rFonts w:ascii="Times New Roman" w:hAnsi="Times New Roman" w:eastAsia="宋体" w:cs="Times New Roman"/>
                      <w:szCs w:val="21"/>
                      <w:vertAlign w:val="subscript"/>
                    </w:rPr>
                    <w:t>2</w:t>
                  </w:r>
                </w:p>
              </w:tc>
              <w:tc>
                <w:tcPr>
                  <w:tcW w:w="1567" w:type="pct"/>
                  <w:vAlign w:val="center"/>
                </w:tcPr>
                <w:p>
                  <w:pPr>
                    <w:widowControl/>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年平均质量浓度</w:t>
                  </w:r>
                </w:p>
              </w:tc>
              <w:tc>
                <w:tcPr>
                  <w:tcW w:w="918" w:type="pct"/>
                  <w:vAlign w:val="center"/>
                </w:tcPr>
                <w:p>
                  <w:pPr>
                    <w:widowControl/>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15</w:t>
                  </w:r>
                </w:p>
              </w:tc>
              <w:tc>
                <w:tcPr>
                  <w:tcW w:w="867" w:type="pct"/>
                  <w:vAlign w:val="center"/>
                </w:tcPr>
                <w:p>
                  <w:pPr>
                    <w:widowControl/>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40</w:t>
                  </w:r>
                </w:p>
              </w:tc>
              <w:tc>
                <w:tcPr>
                  <w:tcW w:w="569" w:type="pct"/>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37.50</w:t>
                  </w:r>
                </w:p>
              </w:tc>
              <w:tc>
                <w:tcPr>
                  <w:tcW w:w="527" w:type="pct"/>
                  <w:vAlign w:val="center"/>
                </w:tcPr>
                <w:p>
                  <w:pPr>
                    <w:widowControl/>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549" w:type="pct"/>
                  <w:vAlign w:val="center"/>
                </w:tcPr>
                <w:p>
                  <w:pPr>
                    <w:widowControl/>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PM</w:t>
                  </w:r>
                  <w:r>
                    <w:rPr>
                      <w:rFonts w:ascii="Times New Roman" w:hAnsi="Times New Roman" w:eastAsia="宋体" w:cs="Times New Roman"/>
                      <w:szCs w:val="21"/>
                      <w:vertAlign w:val="subscript"/>
                    </w:rPr>
                    <w:t>10</w:t>
                  </w:r>
                </w:p>
              </w:tc>
              <w:tc>
                <w:tcPr>
                  <w:tcW w:w="1567" w:type="pct"/>
                  <w:vAlign w:val="center"/>
                </w:tcPr>
                <w:p>
                  <w:pPr>
                    <w:widowControl/>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年平均质量浓度</w:t>
                  </w:r>
                </w:p>
              </w:tc>
              <w:tc>
                <w:tcPr>
                  <w:tcW w:w="918" w:type="pct"/>
                  <w:vAlign w:val="center"/>
                </w:tcPr>
                <w:p>
                  <w:pPr>
                    <w:widowControl/>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41</w:t>
                  </w:r>
                </w:p>
              </w:tc>
              <w:tc>
                <w:tcPr>
                  <w:tcW w:w="867" w:type="pct"/>
                  <w:vAlign w:val="center"/>
                </w:tcPr>
                <w:p>
                  <w:pPr>
                    <w:widowControl/>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70</w:t>
                  </w:r>
                </w:p>
              </w:tc>
              <w:tc>
                <w:tcPr>
                  <w:tcW w:w="569" w:type="pct"/>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55.71</w:t>
                  </w:r>
                </w:p>
              </w:tc>
              <w:tc>
                <w:tcPr>
                  <w:tcW w:w="527" w:type="pct"/>
                  <w:vAlign w:val="center"/>
                </w:tcPr>
                <w:p>
                  <w:pPr>
                    <w:widowControl/>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549" w:type="pct"/>
                  <w:vAlign w:val="center"/>
                </w:tcPr>
                <w:p>
                  <w:pPr>
                    <w:widowControl/>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PM</w:t>
                  </w:r>
                  <w:r>
                    <w:rPr>
                      <w:rFonts w:ascii="Times New Roman" w:hAnsi="Times New Roman" w:eastAsia="宋体" w:cs="Times New Roman"/>
                      <w:szCs w:val="21"/>
                      <w:vertAlign w:val="subscript"/>
                    </w:rPr>
                    <w:t>2.5</w:t>
                  </w:r>
                </w:p>
              </w:tc>
              <w:tc>
                <w:tcPr>
                  <w:tcW w:w="1567" w:type="pct"/>
                  <w:vAlign w:val="center"/>
                </w:tcPr>
                <w:p>
                  <w:pPr>
                    <w:widowControl/>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年平均质量浓度</w:t>
                  </w:r>
                </w:p>
              </w:tc>
              <w:tc>
                <w:tcPr>
                  <w:tcW w:w="918" w:type="pct"/>
                  <w:vAlign w:val="center"/>
                </w:tcPr>
                <w:p>
                  <w:pPr>
                    <w:widowControl/>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20</w:t>
                  </w:r>
                </w:p>
              </w:tc>
              <w:tc>
                <w:tcPr>
                  <w:tcW w:w="867" w:type="pct"/>
                  <w:vAlign w:val="center"/>
                </w:tcPr>
                <w:p>
                  <w:pPr>
                    <w:widowControl/>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35</w:t>
                  </w:r>
                </w:p>
              </w:tc>
              <w:tc>
                <w:tcPr>
                  <w:tcW w:w="569" w:type="pct"/>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51.43</w:t>
                  </w:r>
                </w:p>
              </w:tc>
              <w:tc>
                <w:tcPr>
                  <w:tcW w:w="527" w:type="pct"/>
                  <w:vAlign w:val="center"/>
                </w:tcPr>
                <w:p>
                  <w:pPr>
                    <w:widowControl/>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549" w:type="pct"/>
                  <w:vAlign w:val="center"/>
                </w:tcPr>
                <w:p>
                  <w:pPr>
                    <w:widowControl/>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CO</w:t>
                  </w:r>
                </w:p>
              </w:tc>
              <w:tc>
                <w:tcPr>
                  <w:tcW w:w="1567" w:type="pct"/>
                  <w:vAlign w:val="center"/>
                </w:tcPr>
                <w:p>
                  <w:pPr>
                    <w:widowControl/>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第95百分位数24小时平均质量浓度</w:t>
                  </w:r>
                </w:p>
              </w:tc>
              <w:tc>
                <w:tcPr>
                  <w:tcW w:w="918" w:type="pct"/>
                  <w:vAlign w:val="center"/>
                </w:tcPr>
                <w:p>
                  <w:pPr>
                    <w:widowControl/>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1100</w:t>
                  </w:r>
                </w:p>
              </w:tc>
              <w:tc>
                <w:tcPr>
                  <w:tcW w:w="867" w:type="pct"/>
                  <w:vAlign w:val="center"/>
                </w:tcPr>
                <w:p>
                  <w:pPr>
                    <w:widowControl/>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4000</w:t>
                  </w:r>
                </w:p>
              </w:tc>
              <w:tc>
                <w:tcPr>
                  <w:tcW w:w="569" w:type="pct"/>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27.50</w:t>
                  </w:r>
                </w:p>
              </w:tc>
              <w:tc>
                <w:tcPr>
                  <w:tcW w:w="527" w:type="pct"/>
                  <w:vAlign w:val="center"/>
                </w:tcPr>
                <w:p>
                  <w:pPr>
                    <w:widowControl/>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549" w:type="pct"/>
                  <w:vAlign w:val="center"/>
                </w:tcPr>
                <w:p>
                  <w:pPr>
                    <w:widowControl/>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O</w:t>
                  </w:r>
                  <w:r>
                    <w:rPr>
                      <w:rFonts w:ascii="Times New Roman" w:hAnsi="Times New Roman" w:eastAsia="宋体" w:cs="Times New Roman"/>
                      <w:szCs w:val="21"/>
                      <w:vertAlign w:val="subscript"/>
                    </w:rPr>
                    <w:t>3</w:t>
                  </w:r>
                </w:p>
              </w:tc>
              <w:tc>
                <w:tcPr>
                  <w:tcW w:w="1567" w:type="pct"/>
                  <w:vAlign w:val="center"/>
                </w:tcPr>
                <w:p>
                  <w:pPr>
                    <w:widowControl/>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第90百分位数日最大8小时平均质量浓度</w:t>
                  </w:r>
                </w:p>
              </w:tc>
              <w:tc>
                <w:tcPr>
                  <w:tcW w:w="918" w:type="pct"/>
                  <w:vAlign w:val="center"/>
                </w:tcPr>
                <w:p>
                  <w:pPr>
                    <w:widowControl/>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116</w:t>
                  </w:r>
                </w:p>
              </w:tc>
              <w:tc>
                <w:tcPr>
                  <w:tcW w:w="867" w:type="pct"/>
                  <w:vAlign w:val="center"/>
                </w:tcPr>
                <w:p>
                  <w:pPr>
                    <w:widowControl/>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160</w:t>
                  </w:r>
                </w:p>
              </w:tc>
              <w:tc>
                <w:tcPr>
                  <w:tcW w:w="569" w:type="pct"/>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75.63</w:t>
                  </w:r>
                </w:p>
              </w:tc>
              <w:tc>
                <w:tcPr>
                  <w:tcW w:w="527" w:type="pct"/>
                  <w:vAlign w:val="center"/>
                </w:tcPr>
                <w:p>
                  <w:pPr>
                    <w:widowControl/>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达标</w:t>
                  </w:r>
                </w:p>
              </w:tc>
            </w:tr>
          </w:tbl>
          <w:p>
            <w:pPr>
              <w:adjustRightInd w:val="0"/>
              <w:snapToGrid w:val="0"/>
              <w:spacing w:line="360" w:lineRule="auto"/>
              <w:ind w:firstLine="480" w:firstLineChars="200"/>
              <w:rPr>
                <w:rFonts w:ascii="Times New Roman" w:hAnsi="Times New Roman" w:eastAsia="宋体" w:cs="Times New Roman"/>
                <w:iCs/>
                <w:sz w:val="24"/>
              </w:rPr>
            </w:pPr>
            <w:r>
              <w:rPr>
                <w:rFonts w:ascii="Times New Roman" w:hAnsi="Times New Roman" w:eastAsia="宋体" w:cs="Times New Roman"/>
                <w:iCs/>
                <w:sz w:val="24"/>
              </w:rPr>
              <w:t>根据上表数据可知，云县</w:t>
            </w:r>
            <w:r>
              <w:rPr>
                <w:rFonts w:ascii="Times New Roman" w:hAnsi="Times New Roman" w:eastAsia="宋体" w:cs="Times New Roman"/>
                <w:sz w:val="24"/>
              </w:rPr>
              <w:t>的环境空气质量能够</w:t>
            </w:r>
            <w:r>
              <w:rPr>
                <w:rFonts w:ascii="Times New Roman" w:hAnsi="Times New Roman" w:eastAsia="宋体" w:cs="Times New Roman"/>
                <w:iCs/>
                <w:sz w:val="24"/>
              </w:rPr>
              <w:t>达到</w:t>
            </w:r>
            <w:r>
              <w:rPr>
                <w:rFonts w:ascii="Times New Roman" w:hAnsi="Times New Roman" w:eastAsia="宋体" w:cs="Times New Roman"/>
                <w:sz w:val="24"/>
              </w:rPr>
              <w:t>《环境空气质量标准》（GB3095-2012）中二级标准要求</w:t>
            </w:r>
            <w:r>
              <w:rPr>
                <w:rFonts w:ascii="Times New Roman" w:hAnsi="Times New Roman" w:eastAsia="宋体" w:cs="Times New Roman"/>
                <w:iCs/>
                <w:sz w:val="24"/>
              </w:rPr>
              <w:t>。</w:t>
            </w:r>
          </w:p>
          <w:p>
            <w:pPr>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本项目排放特征污染物TSP，本项目</w:t>
            </w:r>
            <w:r>
              <w:rPr>
                <w:rFonts w:hint="eastAsia" w:ascii="Times New Roman" w:hAnsi="Times New Roman" w:eastAsia="宋体" w:cs="Times New Roman"/>
                <w:sz w:val="24"/>
              </w:rPr>
              <w:t>引用</w:t>
            </w:r>
            <w:r>
              <w:rPr>
                <w:rFonts w:ascii="Times New Roman" w:hAnsi="Times New Roman" w:eastAsia="宋体" w:cs="Times New Roman"/>
                <w:sz w:val="24"/>
              </w:rPr>
              <w:t>云南天博环境检测有限公司对云县塑料包装加工建设项目进行</w:t>
            </w:r>
            <w:r>
              <w:rPr>
                <w:rFonts w:hint="eastAsia" w:ascii="Times New Roman" w:hAnsi="Times New Roman" w:eastAsia="宋体" w:cs="Times New Roman"/>
                <w:sz w:val="24"/>
              </w:rPr>
              <w:t>的环境质量</w:t>
            </w:r>
            <w:r>
              <w:rPr>
                <w:rFonts w:ascii="Times New Roman" w:hAnsi="Times New Roman" w:eastAsia="宋体" w:cs="Times New Roman"/>
                <w:sz w:val="24"/>
              </w:rPr>
              <w:t>现状监测，云县塑料包装加工建设项目</w:t>
            </w:r>
            <w:r>
              <w:rPr>
                <w:rFonts w:hint="eastAsia" w:ascii="Times New Roman" w:hAnsi="Times New Roman" w:eastAsia="宋体" w:cs="Times New Roman"/>
                <w:sz w:val="24"/>
              </w:rPr>
              <w:t>位于该项目东北侧约4.5km处，检测</w:t>
            </w:r>
            <w:r>
              <w:rPr>
                <w:rFonts w:ascii="Times New Roman" w:hAnsi="Times New Roman" w:eastAsia="宋体" w:cs="Times New Roman"/>
                <w:sz w:val="24"/>
              </w:rPr>
              <w:t>结果详见下表3-2。</w:t>
            </w:r>
          </w:p>
          <w:p>
            <w:pPr>
              <w:widowControl/>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 xml:space="preserve">表3-2 </w:t>
            </w:r>
            <w:r>
              <w:rPr>
                <w:rFonts w:ascii="Times New Roman" w:hAnsi="Times New Roman" w:eastAsia="宋体" w:cs="Times New Roman"/>
                <w:b/>
                <w:bCs/>
                <w:szCs w:val="21"/>
              </w:rPr>
              <w:t>现状检测结果一览表   单位：mg/m³</w:t>
            </w:r>
          </w:p>
          <w:tbl>
            <w:tblPr>
              <w:tblStyle w:val="30"/>
              <w:tblW w:w="494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2039"/>
              <w:gridCol w:w="1758"/>
              <w:gridCol w:w="704"/>
              <w:gridCol w:w="633"/>
              <w:gridCol w:w="479"/>
              <w:gridCol w:w="791"/>
              <w:gridCol w:w="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42" w:type="pct"/>
                  <w:vAlign w:val="center"/>
                </w:tcPr>
                <w:p>
                  <w:pPr>
                    <w:widowControl/>
                    <w:adjustRightInd w:val="0"/>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点位名称</w:t>
                  </w:r>
                </w:p>
              </w:tc>
              <w:tc>
                <w:tcPr>
                  <w:tcW w:w="1313" w:type="pct"/>
                  <w:vAlign w:val="center"/>
                </w:tcPr>
                <w:p>
                  <w:pPr>
                    <w:widowControl/>
                    <w:adjustRightInd w:val="0"/>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采样日期</w:t>
                  </w:r>
                </w:p>
              </w:tc>
              <w:tc>
                <w:tcPr>
                  <w:tcW w:w="1132" w:type="pct"/>
                  <w:vAlign w:val="center"/>
                </w:tcPr>
                <w:p>
                  <w:pPr>
                    <w:widowControl/>
                    <w:adjustRightInd w:val="0"/>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采样时间</w:t>
                  </w:r>
                </w:p>
              </w:tc>
              <w:tc>
                <w:tcPr>
                  <w:tcW w:w="454" w:type="pct"/>
                  <w:vAlign w:val="center"/>
                </w:tcPr>
                <w:p>
                  <w:pPr>
                    <w:widowControl/>
                    <w:adjustRightInd w:val="0"/>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检测数据</w:t>
                  </w:r>
                </w:p>
              </w:tc>
              <w:tc>
                <w:tcPr>
                  <w:tcW w:w="408" w:type="pct"/>
                  <w:vAlign w:val="center"/>
                </w:tcPr>
                <w:p>
                  <w:pPr>
                    <w:widowControl/>
                    <w:adjustRightInd w:val="0"/>
                    <w:snapToGrid w:val="0"/>
                    <w:jc w:val="center"/>
                    <w:rPr>
                      <w:rFonts w:ascii="Times New Roman" w:hAnsi="Times New Roman" w:eastAsia="宋体" w:cs="Times New Roman"/>
                      <w:b/>
                      <w:bCs/>
                      <w:szCs w:val="21"/>
                    </w:rPr>
                  </w:pPr>
                  <w:r>
                    <w:rPr>
                      <w:rFonts w:ascii="Times New Roman" w:hAnsi="Times New Roman" w:eastAsia="宋体" w:cs="Times New Roman"/>
                      <w:b/>
                      <w:bCs/>
                      <w:spacing w:val="-6"/>
                      <w:szCs w:val="21"/>
                      <w:lang w:bidi="he-IL"/>
                    </w:rPr>
                    <w:t>平均值</w:t>
                  </w:r>
                </w:p>
              </w:tc>
              <w:tc>
                <w:tcPr>
                  <w:tcW w:w="309" w:type="pct"/>
                  <w:vAlign w:val="center"/>
                </w:tcPr>
                <w:p>
                  <w:pPr>
                    <w:widowControl/>
                    <w:adjustRightInd w:val="0"/>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标准值</w:t>
                  </w:r>
                </w:p>
              </w:tc>
              <w:tc>
                <w:tcPr>
                  <w:tcW w:w="509" w:type="pct"/>
                  <w:vAlign w:val="center"/>
                </w:tcPr>
                <w:p>
                  <w:pPr>
                    <w:widowControl/>
                    <w:adjustRightInd w:val="0"/>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占标率/%</w:t>
                  </w:r>
                </w:p>
              </w:tc>
              <w:tc>
                <w:tcPr>
                  <w:tcW w:w="428" w:type="pct"/>
                  <w:vAlign w:val="center"/>
                </w:tcPr>
                <w:p>
                  <w:pPr>
                    <w:widowControl/>
                    <w:adjustRightInd w:val="0"/>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是否达标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442" w:type="pct"/>
                  <w:vMerge w:val="restart"/>
                  <w:vAlign w:val="center"/>
                </w:tcPr>
                <w:p>
                  <w:pPr>
                    <w:widowControl/>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项目区下风向</w:t>
                  </w:r>
                </w:p>
              </w:tc>
              <w:tc>
                <w:tcPr>
                  <w:tcW w:w="1313" w:type="pct"/>
                  <w:vAlign w:val="center"/>
                </w:tcPr>
                <w:p>
                  <w:pPr>
                    <w:widowControl/>
                    <w:autoSpaceDN w:val="0"/>
                    <w:adjustRightInd w:val="0"/>
                    <w:snapToGrid w:val="0"/>
                    <w:jc w:val="center"/>
                    <w:textAlignment w:val="center"/>
                    <w:rPr>
                      <w:rFonts w:ascii="Times New Roman" w:hAnsi="Times New Roman" w:eastAsia="宋体" w:cs="Times New Roman"/>
                      <w:szCs w:val="21"/>
                    </w:rPr>
                  </w:pPr>
                  <w:r>
                    <w:rPr>
                      <w:rFonts w:ascii="Times New Roman" w:hAnsi="Times New Roman" w:eastAsia="宋体" w:cs="Times New Roman"/>
                      <w:bCs/>
                      <w:spacing w:val="-6"/>
                      <w:szCs w:val="21"/>
                      <w:lang w:bidi="he-IL"/>
                    </w:rPr>
                    <w:t>2023/5/8～2023/5/9</w:t>
                  </w:r>
                </w:p>
              </w:tc>
              <w:tc>
                <w:tcPr>
                  <w:tcW w:w="1132" w:type="pct"/>
                  <w:vAlign w:val="center"/>
                </w:tcPr>
                <w:p>
                  <w:pPr>
                    <w:widowControl/>
                    <w:autoSpaceDN w:val="0"/>
                    <w:adjustRightInd w:val="0"/>
                    <w:snapToGrid w:val="0"/>
                    <w:jc w:val="center"/>
                    <w:textAlignment w:val="center"/>
                    <w:rPr>
                      <w:rFonts w:ascii="Times New Roman" w:hAnsi="Times New Roman" w:eastAsia="宋体" w:cs="Times New Roman"/>
                      <w:bCs/>
                      <w:spacing w:val="-6"/>
                      <w:szCs w:val="21"/>
                      <w:lang w:bidi="he-IL"/>
                    </w:rPr>
                  </w:pPr>
                  <w:r>
                    <w:rPr>
                      <w:rFonts w:ascii="Times New Roman" w:hAnsi="Times New Roman" w:eastAsia="宋体" w:cs="Times New Roman"/>
                      <w:bCs/>
                      <w:spacing w:val="-6"/>
                      <w:szCs w:val="21"/>
                      <w:lang w:bidi="he-IL"/>
                    </w:rPr>
                    <w:t>08:00次日08:00</w:t>
                  </w:r>
                </w:p>
              </w:tc>
              <w:tc>
                <w:tcPr>
                  <w:tcW w:w="454" w:type="pct"/>
                  <w:vAlign w:val="center"/>
                </w:tcPr>
                <w:p>
                  <w:pPr>
                    <w:widowControl/>
                    <w:autoSpaceDN w:val="0"/>
                    <w:adjustRightInd w:val="0"/>
                    <w:snapToGrid w:val="0"/>
                    <w:jc w:val="center"/>
                    <w:textAlignment w:val="center"/>
                    <w:rPr>
                      <w:rFonts w:ascii="Times New Roman" w:hAnsi="Times New Roman" w:eastAsia="宋体" w:cs="Times New Roman"/>
                      <w:szCs w:val="21"/>
                    </w:rPr>
                  </w:pPr>
                  <w:r>
                    <w:rPr>
                      <w:rFonts w:ascii="Times New Roman" w:hAnsi="Times New Roman" w:eastAsia="宋体" w:cs="Times New Roman"/>
                      <w:bCs/>
                      <w:spacing w:val="-6"/>
                      <w:szCs w:val="21"/>
                      <w:lang w:bidi="he-IL"/>
                    </w:rPr>
                    <w:t>0.092</w:t>
                  </w:r>
                </w:p>
              </w:tc>
              <w:tc>
                <w:tcPr>
                  <w:tcW w:w="408" w:type="pct"/>
                  <w:vAlign w:val="center"/>
                </w:tcPr>
                <w:p>
                  <w:pPr>
                    <w:widowControl/>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w:t>
                  </w:r>
                </w:p>
              </w:tc>
              <w:tc>
                <w:tcPr>
                  <w:tcW w:w="309" w:type="pct"/>
                  <w:vMerge w:val="restart"/>
                  <w:vAlign w:val="center"/>
                </w:tcPr>
                <w:p>
                  <w:pPr>
                    <w:widowControl/>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0.3</w:t>
                  </w:r>
                </w:p>
              </w:tc>
              <w:tc>
                <w:tcPr>
                  <w:tcW w:w="509" w:type="pct"/>
                  <w:vAlign w:val="center"/>
                </w:tcPr>
                <w:p>
                  <w:pPr>
                    <w:widowControl/>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30.7</w:t>
                  </w:r>
                </w:p>
              </w:tc>
              <w:tc>
                <w:tcPr>
                  <w:tcW w:w="428" w:type="pct"/>
                  <w:vAlign w:val="center"/>
                </w:tcPr>
                <w:p>
                  <w:pPr>
                    <w:widowControl/>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442" w:type="pct"/>
                  <w:vMerge w:val="continue"/>
                  <w:vAlign w:val="center"/>
                </w:tcPr>
                <w:p>
                  <w:pPr>
                    <w:widowControl/>
                    <w:adjustRightInd w:val="0"/>
                    <w:snapToGrid w:val="0"/>
                    <w:jc w:val="center"/>
                    <w:rPr>
                      <w:rFonts w:ascii="Times New Roman" w:hAnsi="Times New Roman" w:eastAsia="宋体" w:cs="Times New Roman"/>
                      <w:szCs w:val="21"/>
                    </w:rPr>
                  </w:pPr>
                </w:p>
              </w:tc>
              <w:tc>
                <w:tcPr>
                  <w:tcW w:w="1313" w:type="pct"/>
                  <w:vAlign w:val="center"/>
                </w:tcPr>
                <w:p>
                  <w:pPr>
                    <w:widowControl/>
                    <w:autoSpaceDN w:val="0"/>
                    <w:adjustRightInd w:val="0"/>
                    <w:snapToGrid w:val="0"/>
                    <w:jc w:val="center"/>
                    <w:textAlignment w:val="center"/>
                    <w:rPr>
                      <w:rFonts w:ascii="Times New Roman" w:hAnsi="Times New Roman" w:eastAsia="宋体" w:cs="Times New Roman"/>
                      <w:szCs w:val="21"/>
                    </w:rPr>
                  </w:pPr>
                  <w:r>
                    <w:rPr>
                      <w:rFonts w:ascii="Times New Roman" w:hAnsi="Times New Roman" w:eastAsia="宋体" w:cs="Times New Roman"/>
                      <w:bCs/>
                      <w:spacing w:val="-6"/>
                      <w:szCs w:val="21"/>
                      <w:lang w:bidi="he-IL"/>
                    </w:rPr>
                    <w:t>2023/5/9～2023/5/10</w:t>
                  </w:r>
                </w:p>
              </w:tc>
              <w:tc>
                <w:tcPr>
                  <w:tcW w:w="1132" w:type="pct"/>
                  <w:vAlign w:val="center"/>
                </w:tcPr>
                <w:p>
                  <w:pPr>
                    <w:widowControl/>
                    <w:autoSpaceDN w:val="0"/>
                    <w:adjustRightInd w:val="0"/>
                    <w:snapToGrid w:val="0"/>
                    <w:jc w:val="center"/>
                    <w:textAlignment w:val="center"/>
                    <w:rPr>
                      <w:rFonts w:ascii="Times New Roman" w:hAnsi="Times New Roman" w:eastAsia="宋体" w:cs="Times New Roman"/>
                      <w:bCs/>
                      <w:spacing w:val="-6"/>
                      <w:szCs w:val="21"/>
                      <w:lang w:bidi="he-IL"/>
                    </w:rPr>
                  </w:pPr>
                  <w:r>
                    <w:rPr>
                      <w:rFonts w:ascii="Times New Roman" w:hAnsi="Times New Roman" w:eastAsia="宋体" w:cs="Times New Roman"/>
                      <w:bCs/>
                      <w:spacing w:val="-6"/>
                      <w:szCs w:val="21"/>
                      <w:lang w:bidi="he-IL"/>
                    </w:rPr>
                    <w:t>08:20次日08:20</w:t>
                  </w:r>
                </w:p>
              </w:tc>
              <w:tc>
                <w:tcPr>
                  <w:tcW w:w="454" w:type="pct"/>
                  <w:vAlign w:val="center"/>
                </w:tcPr>
                <w:p>
                  <w:pPr>
                    <w:widowControl/>
                    <w:autoSpaceDN w:val="0"/>
                    <w:adjustRightInd w:val="0"/>
                    <w:snapToGrid w:val="0"/>
                    <w:jc w:val="center"/>
                    <w:textAlignment w:val="center"/>
                    <w:rPr>
                      <w:rFonts w:ascii="Times New Roman" w:hAnsi="Times New Roman" w:eastAsia="宋体" w:cs="Times New Roman"/>
                      <w:szCs w:val="21"/>
                    </w:rPr>
                  </w:pPr>
                  <w:r>
                    <w:rPr>
                      <w:rFonts w:ascii="Times New Roman" w:hAnsi="Times New Roman" w:eastAsia="宋体" w:cs="Times New Roman"/>
                      <w:bCs/>
                      <w:spacing w:val="-6"/>
                      <w:szCs w:val="21"/>
                      <w:lang w:bidi="he-IL"/>
                    </w:rPr>
                    <w:t>0.094</w:t>
                  </w:r>
                </w:p>
              </w:tc>
              <w:tc>
                <w:tcPr>
                  <w:tcW w:w="408" w:type="pct"/>
                  <w:vAlign w:val="center"/>
                </w:tcPr>
                <w:p>
                  <w:pPr>
                    <w:widowControl/>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w:t>
                  </w:r>
                </w:p>
              </w:tc>
              <w:tc>
                <w:tcPr>
                  <w:tcW w:w="309" w:type="pct"/>
                  <w:vMerge w:val="continue"/>
                  <w:vAlign w:val="center"/>
                </w:tcPr>
                <w:p>
                  <w:pPr>
                    <w:widowControl/>
                    <w:adjustRightInd w:val="0"/>
                    <w:snapToGrid w:val="0"/>
                    <w:jc w:val="center"/>
                    <w:rPr>
                      <w:rFonts w:ascii="Times New Roman" w:hAnsi="Times New Roman" w:eastAsia="宋体" w:cs="Times New Roman"/>
                      <w:szCs w:val="21"/>
                    </w:rPr>
                  </w:pPr>
                </w:p>
              </w:tc>
              <w:tc>
                <w:tcPr>
                  <w:tcW w:w="509" w:type="pct"/>
                  <w:vAlign w:val="center"/>
                </w:tcPr>
                <w:p>
                  <w:pPr>
                    <w:widowControl/>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31.3</w:t>
                  </w:r>
                </w:p>
              </w:tc>
              <w:tc>
                <w:tcPr>
                  <w:tcW w:w="428" w:type="pct"/>
                  <w:vAlign w:val="center"/>
                </w:tcPr>
                <w:p>
                  <w:pPr>
                    <w:widowControl/>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442" w:type="pct"/>
                  <w:vMerge w:val="continue"/>
                  <w:vAlign w:val="center"/>
                </w:tcPr>
                <w:p>
                  <w:pPr>
                    <w:widowControl/>
                    <w:adjustRightInd w:val="0"/>
                    <w:snapToGrid w:val="0"/>
                    <w:jc w:val="center"/>
                    <w:rPr>
                      <w:rFonts w:ascii="Times New Roman" w:hAnsi="Times New Roman" w:eastAsia="宋体" w:cs="Times New Roman"/>
                      <w:szCs w:val="21"/>
                    </w:rPr>
                  </w:pPr>
                </w:p>
              </w:tc>
              <w:tc>
                <w:tcPr>
                  <w:tcW w:w="1313" w:type="pct"/>
                  <w:vAlign w:val="center"/>
                </w:tcPr>
                <w:p>
                  <w:pPr>
                    <w:widowControl/>
                    <w:autoSpaceDN w:val="0"/>
                    <w:adjustRightInd w:val="0"/>
                    <w:snapToGrid w:val="0"/>
                    <w:jc w:val="center"/>
                    <w:textAlignment w:val="center"/>
                    <w:rPr>
                      <w:rFonts w:ascii="Times New Roman" w:hAnsi="Times New Roman" w:eastAsia="宋体" w:cs="Times New Roman"/>
                      <w:szCs w:val="21"/>
                    </w:rPr>
                  </w:pPr>
                  <w:r>
                    <w:rPr>
                      <w:rFonts w:ascii="Times New Roman" w:hAnsi="Times New Roman" w:eastAsia="宋体" w:cs="Times New Roman"/>
                      <w:bCs/>
                      <w:spacing w:val="-6"/>
                      <w:szCs w:val="21"/>
                      <w:lang w:bidi="he-IL"/>
                    </w:rPr>
                    <w:t>2023/5/10～2023/5/11</w:t>
                  </w:r>
                </w:p>
              </w:tc>
              <w:tc>
                <w:tcPr>
                  <w:tcW w:w="1132" w:type="pct"/>
                  <w:vAlign w:val="center"/>
                </w:tcPr>
                <w:p>
                  <w:pPr>
                    <w:widowControl/>
                    <w:autoSpaceDN w:val="0"/>
                    <w:adjustRightInd w:val="0"/>
                    <w:snapToGrid w:val="0"/>
                    <w:jc w:val="center"/>
                    <w:textAlignment w:val="center"/>
                    <w:rPr>
                      <w:rFonts w:ascii="Times New Roman" w:hAnsi="Times New Roman" w:eastAsia="宋体" w:cs="Times New Roman"/>
                      <w:bCs/>
                      <w:spacing w:val="-6"/>
                      <w:szCs w:val="21"/>
                      <w:lang w:bidi="he-IL"/>
                    </w:rPr>
                  </w:pPr>
                  <w:r>
                    <w:rPr>
                      <w:rFonts w:ascii="Times New Roman" w:hAnsi="Times New Roman" w:eastAsia="宋体" w:cs="Times New Roman"/>
                      <w:bCs/>
                      <w:spacing w:val="-6"/>
                      <w:szCs w:val="21"/>
                      <w:lang w:bidi="he-IL"/>
                    </w:rPr>
                    <w:t>08:30次日08:30</w:t>
                  </w:r>
                </w:p>
              </w:tc>
              <w:tc>
                <w:tcPr>
                  <w:tcW w:w="454" w:type="pct"/>
                  <w:vAlign w:val="center"/>
                </w:tcPr>
                <w:p>
                  <w:pPr>
                    <w:widowControl/>
                    <w:autoSpaceDN w:val="0"/>
                    <w:adjustRightInd w:val="0"/>
                    <w:snapToGrid w:val="0"/>
                    <w:jc w:val="center"/>
                    <w:textAlignment w:val="center"/>
                    <w:rPr>
                      <w:rFonts w:ascii="Times New Roman" w:hAnsi="Times New Roman" w:eastAsia="宋体" w:cs="Times New Roman"/>
                      <w:szCs w:val="21"/>
                    </w:rPr>
                  </w:pPr>
                  <w:r>
                    <w:rPr>
                      <w:rFonts w:ascii="Times New Roman" w:hAnsi="Times New Roman" w:eastAsia="宋体" w:cs="Times New Roman"/>
                      <w:bCs/>
                      <w:spacing w:val="-6"/>
                      <w:szCs w:val="21"/>
                      <w:lang w:bidi="he-IL"/>
                    </w:rPr>
                    <w:t>0.097</w:t>
                  </w:r>
                </w:p>
              </w:tc>
              <w:tc>
                <w:tcPr>
                  <w:tcW w:w="408" w:type="pct"/>
                  <w:vAlign w:val="center"/>
                </w:tcPr>
                <w:p>
                  <w:pPr>
                    <w:widowControl/>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w:t>
                  </w:r>
                </w:p>
              </w:tc>
              <w:tc>
                <w:tcPr>
                  <w:tcW w:w="309" w:type="pct"/>
                  <w:vMerge w:val="continue"/>
                  <w:vAlign w:val="center"/>
                </w:tcPr>
                <w:p>
                  <w:pPr>
                    <w:widowControl/>
                    <w:adjustRightInd w:val="0"/>
                    <w:snapToGrid w:val="0"/>
                    <w:jc w:val="center"/>
                    <w:rPr>
                      <w:rFonts w:ascii="Times New Roman" w:hAnsi="Times New Roman" w:eastAsia="宋体" w:cs="Times New Roman"/>
                      <w:szCs w:val="21"/>
                    </w:rPr>
                  </w:pPr>
                </w:p>
              </w:tc>
              <w:tc>
                <w:tcPr>
                  <w:tcW w:w="509" w:type="pct"/>
                  <w:vAlign w:val="center"/>
                </w:tcPr>
                <w:p>
                  <w:pPr>
                    <w:widowControl/>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32.3</w:t>
                  </w:r>
                </w:p>
              </w:tc>
              <w:tc>
                <w:tcPr>
                  <w:tcW w:w="428" w:type="pct"/>
                  <w:vAlign w:val="center"/>
                </w:tcPr>
                <w:p>
                  <w:pPr>
                    <w:widowControl/>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达标</w:t>
                  </w:r>
                </w:p>
              </w:tc>
            </w:tr>
          </w:tbl>
          <w:p>
            <w:pPr>
              <w:adjustRightInd w:val="0"/>
              <w:snapToGrid w:val="0"/>
              <w:spacing w:line="360" w:lineRule="auto"/>
              <w:ind w:firstLine="480" w:firstLineChars="200"/>
              <w:rPr>
                <w:rFonts w:ascii="Times New Roman" w:hAnsi="Times New Roman" w:eastAsia="宋体" w:cs="Times New Roman"/>
                <w:b/>
                <w:bCs/>
                <w:sz w:val="24"/>
              </w:rPr>
            </w:pPr>
            <w:r>
              <w:rPr>
                <w:rFonts w:ascii="Times New Roman" w:hAnsi="Times New Roman" w:eastAsia="宋体" w:cs="Times New Roman"/>
                <w:sz w:val="24"/>
              </w:rPr>
              <w:t>由上表现状监测结果可知，项目区环境空气中TSP日均值满足《环境空气质量标准》（GB3095—2012）二级标准限值</w:t>
            </w:r>
            <w:r>
              <w:rPr>
                <w:rFonts w:hint="eastAsia" w:ascii="Times New Roman" w:hAnsi="Times New Roman" w:eastAsia="宋体" w:cs="Times New Roman"/>
                <w:sz w:val="24"/>
              </w:rPr>
              <w:t>。</w:t>
            </w:r>
            <w:r>
              <w:rPr>
                <w:rFonts w:ascii="Times New Roman" w:hAnsi="Times New Roman" w:eastAsia="宋体" w:cs="Times New Roman"/>
                <w:sz w:val="24"/>
              </w:rPr>
              <w:t>综上所述，项目所在地环境空气质量较好，满足《环境空气质量标准》（GB3095—2012）二级标准。</w:t>
            </w:r>
          </w:p>
          <w:p>
            <w:pPr>
              <w:adjustRightInd w:val="0"/>
              <w:snapToGrid w:val="0"/>
              <w:spacing w:line="360" w:lineRule="auto"/>
              <w:ind w:firstLine="482" w:firstLineChars="200"/>
              <w:rPr>
                <w:rFonts w:ascii="Times New Roman" w:hAnsi="Times New Roman" w:eastAsia="宋体" w:cs="Times New Roman"/>
                <w:b/>
                <w:bCs/>
                <w:sz w:val="24"/>
              </w:rPr>
            </w:pPr>
            <w:r>
              <w:rPr>
                <w:rFonts w:ascii="Times New Roman" w:hAnsi="Times New Roman" w:eastAsia="宋体" w:cs="Times New Roman"/>
                <w:b/>
                <w:bCs/>
                <w:sz w:val="24"/>
              </w:rPr>
              <w:t>2、地表水环境质量现状</w:t>
            </w:r>
          </w:p>
          <w:p>
            <w:pPr>
              <w:tabs>
                <w:tab w:val="left" w:pos="720"/>
                <w:tab w:val="left" w:pos="2520"/>
                <w:tab w:val="left" w:pos="5180"/>
              </w:tabs>
              <w:topLinePunct/>
              <w:adjustRightInd w:val="0"/>
              <w:snapToGrid w:val="0"/>
              <w:spacing w:line="360" w:lineRule="auto"/>
              <w:ind w:firstLine="480" w:firstLineChars="200"/>
              <w:rPr>
                <w:rFonts w:ascii="Times New Roman" w:hAnsi="Times New Roman" w:eastAsia="宋体" w:cs="Times New Roman"/>
                <w:sz w:val="24"/>
                <w:szCs w:val="30"/>
              </w:rPr>
            </w:pPr>
            <w:r>
              <w:rPr>
                <w:rFonts w:ascii="Times New Roman" w:hAnsi="Times New Roman" w:eastAsia="宋体" w:cs="Times New Roman"/>
                <w:sz w:val="24"/>
                <w:szCs w:val="30"/>
              </w:rPr>
              <w:t>距离本项目最近的地表水为项目区</w:t>
            </w:r>
            <w:r>
              <w:rPr>
                <w:rFonts w:hint="eastAsia" w:ascii="Times New Roman" w:hAnsi="Times New Roman" w:eastAsia="宋体" w:cs="Times New Roman"/>
                <w:sz w:val="24"/>
                <w:szCs w:val="30"/>
              </w:rPr>
              <w:t>东</w:t>
            </w:r>
            <w:r>
              <w:rPr>
                <w:rFonts w:ascii="Times New Roman" w:hAnsi="Times New Roman" w:eastAsia="宋体" w:cs="Times New Roman"/>
                <w:sz w:val="24"/>
                <w:szCs w:val="30"/>
              </w:rPr>
              <w:t>侧</w:t>
            </w:r>
            <w:r>
              <w:rPr>
                <w:rFonts w:hint="eastAsia" w:ascii="Times New Roman" w:hAnsi="Times New Roman" w:eastAsia="宋体" w:cs="Times New Roman"/>
                <w:sz w:val="24"/>
                <w:szCs w:val="30"/>
              </w:rPr>
              <w:t>1</w:t>
            </w:r>
            <w:r>
              <w:rPr>
                <w:rFonts w:ascii="Times New Roman" w:hAnsi="Times New Roman" w:eastAsia="宋体" w:cs="Times New Roman"/>
                <w:sz w:val="24"/>
                <w:szCs w:val="30"/>
              </w:rPr>
              <w:t>0m处的</w:t>
            </w:r>
            <w:r>
              <w:rPr>
                <w:rFonts w:hint="eastAsia" w:ascii="Times New Roman" w:hAnsi="Times New Roman" w:eastAsia="宋体" w:cs="Times New Roman"/>
                <w:sz w:val="24"/>
                <w:szCs w:val="30"/>
              </w:rPr>
              <w:t>北桥河</w:t>
            </w:r>
            <w:r>
              <w:rPr>
                <w:rFonts w:ascii="Times New Roman" w:hAnsi="Times New Roman" w:eastAsia="宋体" w:cs="Times New Roman"/>
                <w:sz w:val="24"/>
                <w:szCs w:val="30"/>
              </w:rPr>
              <w:t>，属于罗闸河支流，属澜沧江水系，经罗闸河汇入澜沧江。根据《临沧市水功能区划2015年修订》（2016年6月实施）。罗闸河全河水质代表断面选择为太平关水文站，代表河长为131.9km，占全市评价总河长的11.56％，全年平均水质类别为Ⅲ类。</w:t>
            </w:r>
          </w:p>
          <w:p>
            <w:pPr>
              <w:tabs>
                <w:tab w:val="left" w:pos="720"/>
                <w:tab w:val="left" w:pos="2520"/>
                <w:tab w:val="left" w:pos="5180"/>
              </w:tabs>
              <w:topLinePunct/>
              <w:adjustRightInd w:val="0"/>
              <w:snapToGrid w:val="0"/>
              <w:spacing w:line="360" w:lineRule="auto"/>
              <w:ind w:firstLine="480" w:firstLineChars="200"/>
              <w:rPr>
                <w:rFonts w:ascii="Times New Roman" w:hAnsi="Times New Roman" w:eastAsia="宋体" w:cs="Times New Roman"/>
                <w:sz w:val="24"/>
                <w:szCs w:val="30"/>
              </w:rPr>
            </w:pPr>
            <w:r>
              <w:rPr>
                <w:rFonts w:ascii="Times New Roman" w:hAnsi="Times New Roman" w:eastAsia="宋体" w:cs="Times New Roman"/>
                <w:sz w:val="24"/>
                <w:szCs w:val="30"/>
              </w:rPr>
              <w:t>根据《202</w:t>
            </w:r>
            <w:r>
              <w:rPr>
                <w:rFonts w:hint="eastAsia" w:ascii="Times New Roman" w:hAnsi="Times New Roman" w:eastAsia="宋体" w:cs="Times New Roman"/>
                <w:sz w:val="24"/>
                <w:szCs w:val="30"/>
              </w:rPr>
              <w:t>2</w:t>
            </w:r>
            <w:r>
              <w:rPr>
                <w:rFonts w:ascii="Times New Roman" w:hAnsi="Times New Roman" w:eastAsia="宋体" w:cs="Times New Roman"/>
                <w:sz w:val="24"/>
                <w:szCs w:val="30"/>
              </w:rPr>
              <w:t>年临沧市环境状况公报》罗闸河黑箐断面：202</w:t>
            </w:r>
            <w:r>
              <w:rPr>
                <w:rFonts w:hint="eastAsia" w:ascii="Times New Roman" w:hAnsi="Times New Roman" w:eastAsia="宋体" w:cs="Times New Roman"/>
                <w:sz w:val="24"/>
                <w:szCs w:val="30"/>
              </w:rPr>
              <w:t>2</w:t>
            </w:r>
            <w:r>
              <w:rPr>
                <w:rFonts w:ascii="Times New Roman" w:hAnsi="Times New Roman" w:eastAsia="宋体" w:cs="Times New Roman"/>
                <w:sz w:val="24"/>
                <w:szCs w:val="30"/>
              </w:rPr>
              <w:t>年水质符合Ⅱ类水标准，水质状况为优，满足水环境功能区划Ⅲ类水质的要求。根据《202</w:t>
            </w:r>
            <w:r>
              <w:rPr>
                <w:rFonts w:hint="eastAsia" w:ascii="Times New Roman" w:hAnsi="Times New Roman" w:eastAsia="宋体" w:cs="Times New Roman"/>
                <w:sz w:val="24"/>
                <w:szCs w:val="30"/>
              </w:rPr>
              <w:t>1</w:t>
            </w:r>
            <w:r>
              <w:rPr>
                <w:rFonts w:ascii="Times New Roman" w:hAnsi="Times New Roman" w:eastAsia="宋体" w:cs="Times New Roman"/>
                <w:sz w:val="24"/>
                <w:szCs w:val="30"/>
              </w:rPr>
              <w:t>年临沧市环境状况公报》凤庆河平村断面：2021年水质符合Ⅲ类水标准，水质状况为良，满足水环境功能类别Ⅲ类水质的要求。项目所在地区新</w:t>
            </w:r>
            <w:r>
              <w:rPr>
                <w:rFonts w:hint="eastAsia" w:ascii="Times New Roman" w:hAnsi="Times New Roman" w:eastAsia="宋体" w:cs="Times New Roman"/>
                <w:sz w:val="24"/>
                <w:szCs w:val="30"/>
              </w:rPr>
              <w:t>北桥河</w:t>
            </w:r>
            <w:r>
              <w:rPr>
                <w:rFonts w:ascii="Times New Roman" w:hAnsi="Times New Roman" w:eastAsia="宋体" w:cs="Times New Roman"/>
                <w:sz w:val="24"/>
                <w:szCs w:val="30"/>
              </w:rPr>
              <w:t>最终汇入罗闸河，水质能满足GB3838-2002《地表水环境质量标准》Ⅲ类水质的要求。</w:t>
            </w:r>
          </w:p>
          <w:p>
            <w:pPr>
              <w:adjustRightInd w:val="0"/>
              <w:snapToGrid w:val="0"/>
              <w:spacing w:line="360" w:lineRule="auto"/>
              <w:ind w:firstLine="482" w:firstLineChars="200"/>
              <w:rPr>
                <w:rFonts w:ascii="Times New Roman" w:hAnsi="Times New Roman" w:eastAsia="宋体" w:cs="Times New Roman"/>
                <w:b/>
                <w:bCs/>
                <w:sz w:val="24"/>
              </w:rPr>
            </w:pPr>
            <w:r>
              <w:rPr>
                <w:rFonts w:ascii="Times New Roman" w:hAnsi="Times New Roman" w:eastAsia="宋体" w:cs="Times New Roman"/>
                <w:b/>
                <w:bCs/>
                <w:sz w:val="24"/>
              </w:rPr>
              <w:t>3、声环境质量现状</w:t>
            </w:r>
          </w:p>
          <w:p>
            <w:pPr>
              <w:tabs>
                <w:tab w:val="left" w:pos="720"/>
                <w:tab w:val="left" w:pos="2520"/>
                <w:tab w:val="left" w:pos="5180"/>
              </w:tabs>
              <w:topLinePunct/>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该项目位于</w:t>
            </w:r>
            <w:r>
              <w:rPr>
                <w:rFonts w:hint="eastAsia" w:ascii="Times New Roman" w:hAnsi="Times New Roman" w:eastAsia="宋体" w:cs="Times New Roman"/>
                <w:sz w:val="24"/>
              </w:rPr>
              <w:t>云县爱华镇河湾村委会马家庄组</w:t>
            </w:r>
            <w:r>
              <w:rPr>
                <w:rFonts w:ascii="Times New Roman" w:hAnsi="Times New Roman" w:eastAsia="宋体" w:cs="Times New Roman"/>
                <w:sz w:val="24"/>
              </w:rPr>
              <w:t>，根据</w:t>
            </w:r>
            <w:r>
              <w:rPr>
                <w:rFonts w:ascii="Times New Roman" w:hAnsi="Times New Roman" w:eastAsia="宋体" w:cs="Times New Roman"/>
                <w:sz w:val="24"/>
                <w:lang w:val="zh-CN"/>
              </w:rPr>
              <w:t>《声环境质量标准》（GB3096-2008）</w:t>
            </w:r>
            <w:r>
              <w:rPr>
                <w:rFonts w:ascii="Times New Roman" w:hAnsi="Times New Roman" w:eastAsia="宋体" w:cs="Times New Roman"/>
                <w:sz w:val="24"/>
              </w:rPr>
              <w:t>，本</w:t>
            </w:r>
            <w:r>
              <w:rPr>
                <w:rFonts w:ascii="Times New Roman" w:hAnsi="Times New Roman" w:eastAsia="宋体" w:cs="Times New Roman"/>
                <w:sz w:val="24"/>
                <w:szCs w:val="30"/>
              </w:rPr>
              <w:t>项目</w:t>
            </w:r>
            <w:r>
              <w:rPr>
                <w:rFonts w:hint="eastAsia" w:ascii="Times New Roman" w:hAnsi="Times New Roman" w:eastAsia="宋体" w:cs="Times New Roman"/>
                <w:sz w:val="24"/>
                <w:szCs w:val="30"/>
              </w:rPr>
              <w:t>位于农村，</w:t>
            </w:r>
            <w:r>
              <w:rPr>
                <w:rFonts w:ascii="Times New Roman" w:hAnsi="Times New Roman" w:eastAsia="宋体" w:cs="Times New Roman"/>
                <w:sz w:val="24"/>
                <w:szCs w:val="30"/>
              </w:rPr>
              <w:t>所在区域属于</w:t>
            </w:r>
            <w:r>
              <w:rPr>
                <w:rFonts w:hint="eastAsia" w:ascii="Times New Roman" w:hAnsi="Times New Roman" w:eastAsia="宋体" w:cs="Times New Roman"/>
                <w:sz w:val="24"/>
                <w:szCs w:val="30"/>
              </w:rPr>
              <w:t>2</w:t>
            </w:r>
            <w:r>
              <w:rPr>
                <w:rFonts w:ascii="Times New Roman" w:hAnsi="Times New Roman" w:eastAsia="宋体" w:cs="Times New Roman"/>
                <w:sz w:val="24"/>
                <w:szCs w:val="30"/>
              </w:rPr>
              <w:t>类声环境功能区，</w:t>
            </w:r>
            <w:r>
              <w:rPr>
                <w:rFonts w:ascii="Times New Roman" w:hAnsi="Times New Roman" w:eastAsia="宋体" w:cs="Times New Roman"/>
                <w:bCs/>
                <w:sz w:val="24"/>
              </w:rPr>
              <w:t>项目区</w:t>
            </w:r>
            <w:r>
              <w:rPr>
                <w:rFonts w:ascii="Times New Roman" w:hAnsi="Times New Roman" w:eastAsia="宋体" w:cs="Times New Roman"/>
                <w:sz w:val="24"/>
                <w:szCs w:val="30"/>
              </w:rPr>
              <w:t>噪声执行《声环境质量标准》（GB3096-2008）</w:t>
            </w:r>
            <w:r>
              <w:rPr>
                <w:rFonts w:hint="eastAsia" w:ascii="Times New Roman" w:hAnsi="Times New Roman" w:eastAsia="宋体" w:cs="Times New Roman"/>
                <w:sz w:val="24"/>
                <w:szCs w:val="30"/>
              </w:rPr>
              <w:t>2</w:t>
            </w:r>
            <w:r>
              <w:rPr>
                <w:rFonts w:ascii="Times New Roman" w:hAnsi="Times New Roman" w:eastAsia="宋体" w:cs="Times New Roman"/>
                <w:sz w:val="24"/>
                <w:szCs w:val="30"/>
              </w:rPr>
              <w:t>类标准，即昼间≤6</w:t>
            </w:r>
            <w:r>
              <w:rPr>
                <w:rFonts w:hint="eastAsia" w:ascii="Times New Roman" w:hAnsi="Times New Roman" w:eastAsia="宋体" w:cs="Times New Roman"/>
                <w:sz w:val="24"/>
                <w:szCs w:val="30"/>
              </w:rPr>
              <w:t>0</w:t>
            </w:r>
            <w:r>
              <w:rPr>
                <w:rFonts w:ascii="Times New Roman" w:hAnsi="Times New Roman" w:eastAsia="宋体" w:cs="Times New Roman"/>
                <w:sz w:val="24"/>
                <w:szCs w:val="30"/>
              </w:rPr>
              <w:t>dB（A），夜间≤5</w:t>
            </w:r>
            <w:r>
              <w:rPr>
                <w:rFonts w:hint="eastAsia" w:ascii="Times New Roman" w:hAnsi="Times New Roman" w:eastAsia="宋体" w:cs="Times New Roman"/>
                <w:sz w:val="24"/>
                <w:szCs w:val="30"/>
              </w:rPr>
              <w:t>0</w:t>
            </w:r>
            <w:r>
              <w:rPr>
                <w:rFonts w:ascii="Times New Roman" w:hAnsi="Times New Roman" w:eastAsia="宋体" w:cs="Times New Roman"/>
                <w:sz w:val="24"/>
                <w:szCs w:val="30"/>
              </w:rPr>
              <w:t>dB（A）。</w:t>
            </w:r>
            <w:r>
              <w:rPr>
                <w:rFonts w:ascii="Times New Roman" w:hAnsi="Times New Roman" w:eastAsia="宋体" w:cs="Times New Roman"/>
                <w:sz w:val="24"/>
              </w:rPr>
              <w:t>根据现场踏勘，</w:t>
            </w:r>
            <w:r>
              <w:rPr>
                <w:rFonts w:ascii="Times New Roman" w:hAnsi="Times New Roman" w:eastAsia="宋体" w:cs="Times New Roman"/>
                <w:sz w:val="24"/>
                <w:lang w:val="zh-CN"/>
              </w:rPr>
              <w:t>项目区周边环境较好，</w:t>
            </w:r>
            <w:r>
              <w:rPr>
                <w:rFonts w:ascii="Times New Roman" w:hAnsi="Times New Roman" w:eastAsia="宋体" w:cs="Times New Roman"/>
                <w:sz w:val="24"/>
              </w:rPr>
              <w:t>50m范围内不存在声环境敏感点，</w:t>
            </w:r>
            <w:r>
              <w:rPr>
                <w:rFonts w:ascii="Times New Roman" w:hAnsi="Times New Roman" w:eastAsia="宋体" w:cs="Times New Roman"/>
                <w:sz w:val="24"/>
                <w:lang w:val="zh-CN"/>
              </w:rPr>
              <w:t>无需进行声环境现状检测，项目区声环境能满足《声环境质量标准》（GB3096-2008）中</w:t>
            </w:r>
            <w:r>
              <w:rPr>
                <w:rFonts w:hint="eastAsia" w:ascii="Times New Roman" w:hAnsi="Times New Roman" w:eastAsia="宋体" w:cs="Times New Roman"/>
                <w:sz w:val="24"/>
              </w:rPr>
              <w:t>2</w:t>
            </w:r>
            <w:r>
              <w:rPr>
                <w:rFonts w:ascii="Times New Roman" w:hAnsi="Times New Roman" w:eastAsia="宋体" w:cs="Times New Roman"/>
                <w:sz w:val="24"/>
                <w:lang w:val="zh-CN"/>
              </w:rPr>
              <w:t>类标准。</w:t>
            </w:r>
          </w:p>
          <w:p>
            <w:pPr>
              <w:adjustRightInd w:val="0"/>
              <w:snapToGrid w:val="0"/>
              <w:spacing w:line="360" w:lineRule="auto"/>
              <w:ind w:firstLine="482" w:firstLineChars="200"/>
              <w:rPr>
                <w:rFonts w:ascii="Times New Roman" w:hAnsi="Times New Roman" w:eastAsia="宋体" w:cs="Times New Roman"/>
                <w:b/>
                <w:bCs/>
                <w:sz w:val="24"/>
              </w:rPr>
            </w:pPr>
            <w:r>
              <w:rPr>
                <w:rFonts w:ascii="Times New Roman" w:hAnsi="Times New Roman" w:eastAsia="宋体" w:cs="Times New Roman"/>
                <w:b/>
                <w:bCs/>
                <w:sz w:val="24"/>
              </w:rPr>
              <w:t>4、地下水环境现状</w:t>
            </w:r>
          </w:p>
          <w:p>
            <w:pPr>
              <w:tabs>
                <w:tab w:val="left" w:pos="720"/>
                <w:tab w:val="left" w:pos="2520"/>
                <w:tab w:val="left" w:pos="5180"/>
              </w:tabs>
              <w:topLinePunct/>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根据《环境影响评价技术导则·地下水环境》（HJ610-2016），</w:t>
            </w:r>
            <w:r>
              <w:rPr>
                <w:rFonts w:ascii="Times New Roman" w:hAnsi="Times New Roman" w:eastAsia="宋体" w:cs="Times New Roman"/>
                <w:sz w:val="24"/>
                <w:szCs w:val="30"/>
              </w:rPr>
              <w:t>拟建项目行业类别</w:t>
            </w:r>
            <w:r>
              <w:rPr>
                <w:rFonts w:hint="eastAsia" w:ascii="Times New Roman" w:hAnsi="Times New Roman" w:eastAsia="宋体" w:cs="Times New Roman"/>
                <w:sz w:val="24"/>
                <w:szCs w:val="30"/>
              </w:rPr>
              <w:t>参照</w:t>
            </w:r>
            <w:r>
              <w:rPr>
                <w:rFonts w:ascii="Times New Roman" w:hAnsi="Times New Roman" w:eastAsia="宋体" w:cs="Times New Roman"/>
                <w:sz w:val="24"/>
                <w:szCs w:val="30"/>
              </w:rPr>
              <w:t>附录A中的“</w:t>
            </w:r>
            <w:r>
              <w:rPr>
                <w:rFonts w:hint="eastAsia" w:ascii="Times New Roman" w:hAnsi="Times New Roman" w:eastAsia="宋体" w:cs="Times New Roman"/>
                <w:sz w:val="24"/>
              </w:rPr>
              <w:t>62</w:t>
            </w:r>
            <w:r>
              <w:rPr>
                <w:rFonts w:ascii="Times New Roman" w:hAnsi="Times New Roman" w:eastAsia="宋体" w:cs="Times New Roman"/>
                <w:sz w:val="24"/>
              </w:rPr>
              <w:t>、</w:t>
            </w:r>
            <w:r>
              <w:rPr>
                <w:rFonts w:hint="eastAsia" w:ascii="Times New Roman" w:hAnsi="Times New Roman" w:eastAsia="宋体" w:cs="Times New Roman"/>
                <w:sz w:val="24"/>
              </w:rPr>
              <w:t>石材加工</w:t>
            </w:r>
            <w:r>
              <w:rPr>
                <w:rFonts w:ascii="Times New Roman" w:hAnsi="Times New Roman" w:eastAsia="宋体" w:cs="Times New Roman"/>
                <w:sz w:val="24"/>
              </w:rPr>
              <w:t>的</w:t>
            </w:r>
            <w:r>
              <w:rPr>
                <w:rFonts w:hint="eastAsia" w:ascii="Times New Roman" w:hAnsi="Times New Roman" w:eastAsia="宋体" w:cs="Times New Roman"/>
                <w:sz w:val="24"/>
              </w:rPr>
              <w:t>全部</w:t>
            </w:r>
            <w:r>
              <w:rPr>
                <w:rFonts w:ascii="Times New Roman" w:hAnsi="Times New Roman" w:eastAsia="宋体" w:cs="Times New Roman"/>
                <w:sz w:val="24"/>
                <w:szCs w:val="30"/>
              </w:rPr>
              <w:t>”，为Ⅳ类项目，可不开展</w:t>
            </w:r>
            <w:r>
              <w:rPr>
                <w:rFonts w:ascii="Times New Roman" w:hAnsi="Times New Roman" w:eastAsia="宋体" w:cs="Times New Roman"/>
                <w:sz w:val="24"/>
              </w:rPr>
              <w:t>地下水</w:t>
            </w:r>
            <w:r>
              <w:rPr>
                <w:rFonts w:ascii="Times New Roman" w:hAnsi="Times New Roman" w:eastAsia="宋体" w:cs="Times New Roman"/>
                <w:sz w:val="24"/>
                <w:szCs w:val="30"/>
              </w:rPr>
              <w:t>环境影响评价工作。因此，不进行</w:t>
            </w:r>
            <w:r>
              <w:rPr>
                <w:rFonts w:ascii="Times New Roman" w:hAnsi="Times New Roman" w:eastAsia="宋体" w:cs="Times New Roman"/>
                <w:sz w:val="24"/>
              </w:rPr>
              <w:t>地下水</w:t>
            </w:r>
            <w:r>
              <w:rPr>
                <w:rFonts w:ascii="Times New Roman" w:hAnsi="Times New Roman" w:eastAsia="宋体" w:cs="Times New Roman"/>
                <w:sz w:val="24"/>
                <w:szCs w:val="30"/>
              </w:rPr>
              <w:t>环境质量调查。</w:t>
            </w:r>
          </w:p>
          <w:p>
            <w:pPr>
              <w:adjustRightInd w:val="0"/>
              <w:snapToGrid w:val="0"/>
              <w:spacing w:line="360" w:lineRule="auto"/>
              <w:ind w:firstLine="482" w:firstLineChars="200"/>
              <w:rPr>
                <w:rFonts w:ascii="Times New Roman" w:hAnsi="Times New Roman" w:eastAsia="宋体" w:cs="Times New Roman"/>
                <w:b/>
                <w:bCs/>
                <w:sz w:val="24"/>
              </w:rPr>
            </w:pPr>
            <w:r>
              <w:rPr>
                <w:rFonts w:ascii="Times New Roman" w:hAnsi="Times New Roman" w:eastAsia="宋体" w:cs="Times New Roman"/>
                <w:b/>
                <w:bCs/>
                <w:sz w:val="24"/>
              </w:rPr>
              <w:t>5、土壤环境质量现状</w:t>
            </w:r>
          </w:p>
          <w:p>
            <w:pPr>
              <w:tabs>
                <w:tab w:val="left" w:pos="720"/>
                <w:tab w:val="left" w:pos="2520"/>
                <w:tab w:val="left" w:pos="5180"/>
              </w:tabs>
              <w:topLinePunct/>
              <w:adjustRightInd w:val="0"/>
              <w:snapToGrid w:val="0"/>
              <w:spacing w:line="360" w:lineRule="auto"/>
              <w:ind w:firstLine="480" w:firstLineChars="200"/>
              <w:rPr>
                <w:rFonts w:ascii="Times New Roman" w:hAnsi="Times New Roman" w:eastAsia="宋体" w:cs="Times New Roman"/>
                <w:sz w:val="24"/>
                <w:szCs w:val="30"/>
              </w:rPr>
            </w:pPr>
            <w:r>
              <w:rPr>
                <w:rFonts w:ascii="Times New Roman" w:hAnsi="Times New Roman" w:eastAsia="宋体" w:cs="Times New Roman"/>
                <w:sz w:val="24"/>
                <w:szCs w:val="30"/>
              </w:rPr>
              <w:t>根据《环境影响评价技术导则－土壤环境》（试行）（HJ964-2018），拟建项目行业类别属于附录A中的“其他”，为Ⅳ类项目，可不开展土壤环境影响评价工作。因此，不进行土壤环境质量调查。</w:t>
            </w:r>
          </w:p>
          <w:p>
            <w:pPr>
              <w:adjustRightInd w:val="0"/>
              <w:snapToGrid w:val="0"/>
              <w:spacing w:line="360" w:lineRule="auto"/>
              <w:ind w:firstLine="482" w:firstLineChars="200"/>
              <w:rPr>
                <w:rFonts w:ascii="Times New Roman" w:hAnsi="Times New Roman" w:eastAsia="宋体" w:cs="Times New Roman"/>
                <w:b/>
                <w:bCs/>
                <w:sz w:val="24"/>
              </w:rPr>
            </w:pPr>
            <w:r>
              <w:rPr>
                <w:rFonts w:ascii="Times New Roman" w:hAnsi="Times New Roman" w:eastAsia="宋体" w:cs="Times New Roman"/>
                <w:b/>
                <w:bCs/>
                <w:sz w:val="24"/>
              </w:rPr>
              <w:t>6、生态环境现状</w:t>
            </w:r>
          </w:p>
          <w:p>
            <w:pPr>
              <w:spacing w:line="360" w:lineRule="auto"/>
              <w:ind w:firstLine="480" w:firstLineChars="200"/>
              <w:rPr>
                <w:rFonts w:hAnsi="宋体"/>
                <w:sz w:val="24"/>
              </w:rPr>
            </w:pPr>
            <w:r>
              <w:rPr>
                <w:rFonts w:ascii="Times New Roman" w:hAnsi="Times New Roman" w:eastAsia="宋体" w:cs="Times New Roman"/>
                <w:sz w:val="24"/>
                <w:szCs w:val="30"/>
              </w:rPr>
              <w:t>根据现场调查，受人为活动影响，项目区现无天然植被，无保护植物及名木古树</w:t>
            </w:r>
            <w:r>
              <w:rPr>
                <w:rFonts w:hint="eastAsia" w:ascii="Times New Roman" w:hAnsi="Times New Roman" w:eastAsia="宋体" w:cs="Times New Roman"/>
                <w:sz w:val="24"/>
                <w:szCs w:val="30"/>
              </w:rPr>
              <w:t>；</w:t>
            </w:r>
            <w:r>
              <w:rPr>
                <w:rFonts w:ascii="Times New Roman" w:hAnsi="Times New Roman" w:eastAsia="宋体" w:cs="Times New Roman"/>
                <w:sz w:val="24"/>
                <w:szCs w:val="30"/>
              </w:rPr>
              <w:t>项目区主要分布的动物为鼠类、蛇、蛙以及常见的鸟类，不存在重点保护的陆生动物。</w:t>
            </w:r>
            <w:r>
              <w:rPr>
                <w:rFonts w:hint="eastAsia" w:ascii="Times New Roman" w:hAnsi="Times New Roman" w:eastAsia="宋体" w:cs="Times New Roman"/>
                <w:sz w:val="24"/>
                <w:szCs w:val="30"/>
              </w:rPr>
              <w:t>北桥河一侧植被主要为芦苇及其他常见杂草，根据现场调查及查阅相关资料，北桥河</w:t>
            </w:r>
            <w:r>
              <w:rPr>
                <w:rFonts w:hint="eastAsia" w:hAnsi="宋体"/>
                <w:sz w:val="24"/>
              </w:rPr>
              <w:t>主要经济鱼类的种类数量不丰富，可见种类有鲫鱼Carassius auratus、泥鳅Oriental weatherfish、麦穗鱼Pseudorasbora parva等。</w:t>
            </w:r>
          </w:p>
          <w:p>
            <w:pPr>
              <w:tabs>
                <w:tab w:val="left" w:pos="720"/>
                <w:tab w:val="left" w:pos="2520"/>
                <w:tab w:val="left" w:pos="5180"/>
              </w:tabs>
              <w:topLinePunct/>
              <w:adjustRightInd w:val="0"/>
              <w:snapToGrid w:val="0"/>
              <w:spacing w:line="360" w:lineRule="auto"/>
              <w:ind w:firstLine="480" w:firstLineChars="200"/>
              <w:rPr>
                <w:rFonts w:ascii="Times New Roman" w:hAnsi="Times New Roman" w:eastAsia="宋体" w:cs="Times New Roman"/>
              </w:rPr>
            </w:pPr>
            <w:r>
              <w:rPr>
                <w:rFonts w:hint="eastAsia" w:hAnsi="宋体"/>
                <w:sz w:val="24"/>
              </w:rPr>
              <w:t>根据现场调查、访问及查阅历史调查资料，河道内无珍稀濒危保护鱼类分布，也无局限于该河道的特有鱼类栖息。河道内无鱼类保护区分布。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69" w:type="pct"/>
          </w:tcPr>
          <w:p>
            <w:pPr>
              <w:spacing w:line="360" w:lineRule="auto"/>
              <w:rPr>
                <w:rFonts w:ascii="Times New Roman" w:hAnsi="Times New Roman" w:eastAsia="宋体" w:cs="Times New Roman"/>
                <w:kern w:val="0"/>
                <w:sz w:val="22"/>
                <w:szCs w:val="22"/>
                <w:lang w:bidi="ar"/>
              </w:rPr>
            </w:pPr>
            <w:r>
              <w:rPr>
                <w:rFonts w:ascii="Times New Roman" w:hAnsi="Times New Roman" w:eastAsia="宋体" w:cs="Times New Roman"/>
                <w:kern w:val="0"/>
                <w:sz w:val="24"/>
                <w:lang w:bidi="ar"/>
              </w:rPr>
              <w:t>环境保护目标</w:t>
            </w:r>
          </w:p>
        </w:tc>
        <w:tc>
          <w:tcPr>
            <w:tcW w:w="4730" w:type="pct"/>
          </w:tcPr>
          <w:p>
            <w:pPr>
              <w:topLinePunct/>
              <w:adjustRightInd w:val="0"/>
              <w:snapToGrid w:val="0"/>
              <w:spacing w:line="360" w:lineRule="auto"/>
              <w:ind w:firstLine="480" w:firstLineChars="200"/>
              <w:rPr>
                <w:rFonts w:ascii="Times New Roman" w:hAnsi="Times New Roman" w:eastAsia="宋体" w:cs="Times New Roman"/>
                <w:b/>
                <w:sz w:val="24"/>
              </w:rPr>
            </w:pPr>
            <w:r>
              <w:rPr>
                <w:rFonts w:ascii="Times New Roman" w:hAnsi="Times New Roman" w:eastAsia="宋体" w:cs="Times New Roman"/>
                <w:sz w:val="24"/>
              </w:rPr>
              <w:t>根据对拟建项目现场踏勘、调查和环办环评〔2020〕33号附件2：“建设项目环境影响报告表编制技术指南（污染影响类）（试行）”，确定了本次评价的生态环境、大气环境、声环境、地表水环境保护目标。</w:t>
            </w:r>
          </w:p>
          <w:p>
            <w:pPr>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1、大气环境：项目500m范围内的大气环境保护目标</w:t>
            </w:r>
            <w:r>
              <w:rPr>
                <w:rFonts w:hint="eastAsia" w:ascii="Times New Roman" w:hAnsi="Times New Roman" w:eastAsia="宋体" w:cs="Times New Roman"/>
                <w:sz w:val="24"/>
              </w:rPr>
              <w:t>，主要为下界碑、上界碑、河湾村民委员会、马家庄、小村</w:t>
            </w:r>
            <w:r>
              <w:rPr>
                <w:rFonts w:ascii="Times New Roman" w:hAnsi="Times New Roman" w:eastAsia="宋体" w:cs="Times New Roman"/>
                <w:sz w:val="24"/>
              </w:rPr>
              <w:t>。</w:t>
            </w:r>
          </w:p>
          <w:p>
            <w:pPr>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2、声环境：项目厂界外50m内无声环境保护目标分布。</w:t>
            </w:r>
          </w:p>
          <w:p>
            <w:pPr>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3、地表水环境：项目所在地附近主要地表水体为</w:t>
            </w:r>
            <w:r>
              <w:rPr>
                <w:rFonts w:hint="eastAsia" w:ascii="Times New Roman" w:hAnsi="Times New Roman" w:eastAsia="宋体" w:cs="Times New Roman"/>
                <w:sz w:val="24"/>
              </w:rPr>
              <w:t>东</w:t>
            </w:r>
            <w:r>
              <w:rPr>
                <w:rFonts w:ascii="Times New Roman" w:hAnsi="Times New Roman" w:eastAsia="宋体" w:cs="Times New Roman"/>
                <w:sz w:val="24"/>
              </w:rPr>
              <w:t>侧</w:t>
            </w:r>
            <w:r>
              <w:rPr>
                <w:rFonts w:hint="eastAsia" w:ascii="Times New Roman" w:hAnsi="Times New Roman" w:eastAsia="宋体" w:cs="Times New Roman"/>
                <w:bCs/>
                <w:sz w:val="24"/>
                <w:lang w:bidi="ar"/>
              </w:rPr>
              <w:t>1</w:t>
            </w:r>
            <w:r>
              <w:rPr>
                <w:rFonts w:ascii="Times New Roman" w:hAnsi="Times New Roman" w:eastAsia="宋体" w:cs="Times New Roman"/>
                <w:bCs/>
                <w:sz w:val="24"/>
                <w:lang w:bidi="ar"/>
              </w:rPr>
              <w:t>0m的</w:t>
            </w:r>
            <w:r>
              <w:rPr>
                <w:rFonts w:hint="eastAsia" w:ascii="Times New Roman" w:hAnsi="Times New Roman" w:eastAsia="宋体" w:cs="Times New Roman"/>
                <w:bCs/>
                <w:sz w:val="24"/>
                <w:lang w:bidi="ar"/>
              </w:rPr>
              <w:t>北桥</w:t>
            </w:r>
            <w:r>
              <w:rPr>
                <w:rFonts w:ascii="Times New Roman" w:hAnsi="Times New Roman" w:eastAsia="宋体" w:cs="Times New Roman"/>
                <w:bCs/>
                <w:sz w:val="24"/>
                <w:lang w:bidi="ar"/>
              </w:rPr>
              <w:t>河</w:t>
            </w:r>
            <w:r>
              <w:rPr>
                <w:rFonts w:ascii="Times New Roman" w:hAnsi="Times New Roman" w:eastAsia="宋体" w:cs="Times New Roman"/>
                <w:sz w:val="24"/>
              </w:rPr>
              <w:t>。</w:t>
            </w:r>
          </w:p>
          <w:p>
            <w:pPr>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4、地下水：本项目厂界外500m范围内无地下水集中式饮用水水源和热水、矿泉水、温泉等特殊地下水资源。</w:t>
            </w:r>
          </w:p>
          <w:p>
            <w:pPr>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5、生态环境：项目场地及周边200m范围内无国家级和省级保护植物物种，以及地方狭域植物种类分布，也无古树名木。无大型野生哺乳动物、受国家和云南省重点保护及关注物种，同时也无当地特有物种，无生态环境保护目标</w:t>
            </w:r>
            <w:r>
              <w:rPr>
                <w:rFonts w:ascii="Times New Roman" w:hAnsi="Times New Roman" w:eastAsia="宋体" w:cs="Times New Roman"/>
                <w:kern w:val="0"/>
                <w:sz w:val="24"/>
                <w:lang w:bidi="ar"/>
              </w:rPr>
              <w:t>。</w:t>
            </w:r>
          </w:p>
          <w:p>
            <w:pPr>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该项目环境保护目标见表3-</w:t>
            </w:r>
            <w:r>
              <w:rPr>
                <w:rFonts w:hint="eastAsia" w:ascii="Times New Roman" w:hAnsi="Times New Roman" w:eastAsia="宋体" w:cs="Times New Roman"/>
                <w:sz w:val="24"/>
              </w:rPr>
              <w:t>3</w:t>
            </w:r>
            <w:r>
              <w:rPr>
                <w:rFonts w:ascii="Times New Roman" w:hAnsi="Times New Roman" w:eastAsia="宋体" w:cs="Times New Roman"/>
                <w:sz w:val="24"/>
              </w:rPr>
              <w:t>。</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表</w:t>
            </w:r>
            <w:r>
              <w:rPr>
                <w:rFonts w:ascii="Times New Roman" w:hAnsi="Times New Roman" w:eastAsia="宋体" w:cs="Times New Roman"/>
                <w:b/>
                <w:szCs w:val="21"/>
                <w:lang w:val="zh-CN"/>
              </w:rPr>
              <w:t>3-</w:t>
            </w:r>
            <w:r>
              <w:rPr>
                <w:rFonts w:hint="eastAsia" w:ascii="Times New Roman" w:hAnsi="Times New Roman" w:eastAsia="宋体" w:cs="Times New Roman"/>
                <w:b/>
                <w:szCs w:val="21"/>
              </w:rPr>
              <w:t>3</w:t>
            </w:r>
            <w:r>
              <w:rPr>
                <w:rFonts w:ascii="Times New Roman" w:hAnsi="Times New Roman" w:eastAsia="宋体" w:cs="Times New Roman"/>
                <w:b/>
                <w:szCs w:val="21"/>
              </w:rPr>
              <w:t xml:space="preserve"> </w:t>
            </w:r>
            <w:r>
              <w:rPr>
                <w:rFonts w:ascii="Times New Roman" w:hAnsi="Times New Roman" w:eastAsia="宋体" w:cs="Times New Roman"/>
                <w:b/>
                <w:szCs w:val="21"/>
                <w:lang w:val="zh-CN"/>
              </w:rPr>
              <w:t>环境保护目标一览表</w:t>
            </w:r>
          </w:p>
          <w:tbl>
            <w:tblPr>
              <w:tblStyle w:val="29"/>
              <w:tblW w:w="78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2"/>
              <w:gridCol w:w="931"/>
              <w:gridCol w:w="2138"/>
              <w:gridCol w:w="918"/>
              <w:gridCol w:w="1060"/>
              <w:gridCol w:w="1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92" w:type="dxa"/>
                  <w:vAlign w:val="center"/>
                </w:tcPr>
                <w:p>
                  <w:pPr>
                    <w:widowControl/>
                    <w:adjustRightInd w:val="0"/>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名称</w:t>
                  </w:r>
                </w:p>
              </w:tc>
              <w:tc>
                <w:tcPr>
                  <w:tcW w:w="931" w:type="dxa"/>
                  <w:vAlign w:val="center"/>
                </w:tcPr>
                <w:p>
                  <w:pPr>
                    <w:widowControl/>
                    <w:adjustRightInd w:val="0"/>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调查范围</w:t>
                  </w:r>
                </w:p>
              </w:tc>
              <w:tc>
                <w:tcPr>
                  <w:tcW w:w="2138" w:type="dxa"/>
                  <w:vAlign w:val="center"/>
                </w:tcPr>
                <w:p>
                  <w:pPr>
                    <w:widowControl/>
                    <w:adjustRightInd w:val="0"/>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保护对象</w:t>
                  </w:r>
                </w:p>
              </w:tc>
              <w:tc>
                <w:tcPr>
                  <w:tcW w:w="918" w:type="dxa"/>
                  <w:vAlign w:val="center"/>
                </w:tcPr>
                <w:p>
                  <w:pPr>
                    <w:widowControl/>
                    <w:adjustRightInd w:val="0"/>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相对厂址方位</w:t>
                  </w:r>
                </w:p>
              </w:tc>
              <w:tc>
                <w:tcPr>
                  <w:tcW w:w="1060" w:type="dxa"/>
                  <w:vAlign w:val="center"/>
                </w:tcPr>
                <w:p>
                  <w:pPr>
                    <w:widowControl/>
                    <w:adjustRightInd w:val="0"/>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相对厂界距离/m</w:t>
                  </w:r>
                </w:p>
              </w:tc>
              <w:tc>
                <w:tcPr>
                  <w:tcW w:w="1737" w:type="dxa"/>
                  <w:vAlign w:val="center"/>
                </w:tcPr>
                <w:p>
                  <w:pPr>
                    <w:widowControl/>
                    <w:adjustRightInd w:val="0"/>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环境功能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92" w:type="dxa"/>
                  <w:vMerge w:val="restart"/>
                  <w:vAlign w:val="center"/>
                </w:tcPr>
                <w:p>
                  <w:pPr>
                    <w:widowControl/>
                    <w:adjustRightInd w:val="0"/>
                    <w:snapToGrid w:val="0"/>
                    <w:rPr>
                      <w:rFonts w:ascii="Times New Roman" w:hAnsi="Times New Roman" w:eastAsia="宋体" w:cs="Times New Roman"/>
                      <w:szCs w:val="21"/>
                    </w:rPr>
                  </w:pPr>
                  <w:r>
                    <w:rPr>
                      <w:rFonts w:ascii="Times New Roman" w:hAnsi="Times New Roman" w:eastAsia="宋体" w:cs="Times New Roman"/>
                      <w:szCs w:val="21"/>
                    </w:rPr>
                    <w:t>大气环境</w:t>
                  </w:r>
                </w:p>
              </w:tc>
              <w:tc>
                <w:tcPr>
                  <w:tcW w:w="931" w:type="dxa"/>
                  <w:vMerge w:val="restart"/>
                  <w:vAlign w:val="center"/>
                </w:tcPr>
                <w:p>
                  <w:pPr>
                    <w:widowControl/>
                    <w:adjustRightInd w:val="0"/>
                    <w:snapToGrid w:val="0"/>
                    <w:rPr>
                      <w:rFonts w:ascii="Times New Roman" w:hAnsi="Times New Roman" w:eastAsia="宋体" w:cs="Times New Roman"/>
                      <w:szCs w:val="21"/>
                    </w:rPr>
                  </w:pPr>
                  <w:r>
                    <w:rPr>
                      <w:rFonts w:ascii="Times New Roman" w:hAnsi="Times New Roman" w:eastAsia="宋体" w:cs="Times New Roman"/>
                      <w:szCs w:val="21"/>
                    </w:rPr>
                    <w:t>项目500m范围内</w:t>
                  </w:r>
                </w:p>
              </w:tc>
              <w:tc>
                <w:tcPr>
                  <w:tcW w:w="2138" w:type="dxa"/>
                  <w:vAlign w:val="center"/>
                </w:tcPr>
                <w:p>
                  <w:pPr>
                    <w:widowControl/>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下界碑（20户80人）</w:t>
                  </w:r>
                </w:p>
              </w:tc>
              <w:tc>
                <w:tcPr>
                  <w:tcW w:w="918" w:type="dxa"/>
                  <w:vAlign w:val="center"/>
                </w:tcPr>
                <w:p>
                  <w:pPr>
                    <w:widowControl/>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西北侧</w:t>
                  </w:r>
                </w:p>
              </w:tc>
              <w:tc>
                <w:tcPr>
                  <w:tcW w:w="1060" w:type="dxa"/>
                  <w:vAlign w:val="center"/>
                </w:tcPr>
                <w:p>
                  <w:pPr>
                    <w:widowControl/>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315</w:t>
                  </w:r>
                </w:p>
              </w:tc>
              <w:tc>
                <w:tcPr>
                  <w:tcW w:w="1737" w:type="dxa"/>
                  <w:vMerge w:val="restart"/>
                  <w:vAlign w:val="center"/>
                </w:tcPr>
                <w:p>
                  <w:pPr>
                    <w:widowControl/>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《环境空气质量标准》（GB3095—2012）</w:t>
                  </w:r>
                  <w:r>
                    <w:rPr>
                      <w:rFonts w:hint="eastAsia" w:ascii="Times New Roman" w:hAnsi="Times New Roman" w:eastAsia="宋体" w:cs="Times New Roman"/>
                      <w:szCs w:val="21"/>
                    </w:rPr>
                    <w:t>二级标准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92" w:type="dxa"/>
                  <w:vMerge w:val="continue"/>
                  <w:vAlign w:val="center"/>
                </w:tcPr>
                <w:p>
                  <w:pPr>
                    <w:widowControl/>
                    <w:adjustRightInd w:val="0"/>
                    <w:snapToGrid w:val="0"/>
                    <w:rPr>
                      <w:rFonts w:ascii="Times New Roman" w:hAnsi="Times New Roman" w:eastAsia="宋体" w:cs="Times New Roman"/>
                      <w:szCs w:val="21"/>
                    </w:rPr>
                  </w:pPr>
                </w:p>
              </w:tc>
              <w:tc>
                <w:tcPr>
                  <w:tcW w:w="931" w:type="dxa"/>
                  <w:vMerge w:val="continue"/>
                  <w:vAlign w:val="center"/>
                </w:tcPr>
                <w:p>
                  <w:pPr>
                    <w:widowControl/>
                    <w:adjustRightInd w:val="0"/>
                    <w:snapToGrid w:val="0"/>
                    <w:rPr>
                      <w:rFonts w:ascii="Times New Roman" w:hAnsi="Times New Roman" w:eastAsia="宋体" w:cs="Times New Roman"/>
                      <w:szCs w:val="21"/>
                    </w:rPr>
                  </w:pPr>
                </w:p>
              </w:tc>
              <w:tc>
                <w:tcPr>
                  <w:tcW w:w="2138" w:type="dxa"/>
                  <w:vAlign w:val="center"/>
                </w:tcPr>
                <w:p>
                  <w:pPr>
                    <w:widowControl/>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上界碑（15户60人）</w:t>
                  </w:r>
                </w:p>
              </w:tc>
              <w:tc>
                <w:tcPr>
                  <w:tcW w:w="918" w:type="dxa"/>
                  <w:vAlign w:val="center"/>
                </w:tcPr>
                <w:p>
                  <w:pPr>
                    <w:widowControl/>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西北侧</w:t>
                  </w:r>
                </w:p>
              </w:tc>
              <w:tc>
                <w:tcPr>
                  <w:tcW w:w="1060" w:type="dxa"/>
                  <w:vAlign w:val="center"/>
                </w:tcPr>
                <w:p>
                  <w:pPr>
                    <w:widowControl/>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350</w:t>
                  </w:r>
                </w:p>
              </w:tc>
              <w:tc>
                <w:tcPr>
                  <w:tcW w:w="1737" w:type="dxa"/>
                  <w:vMerge w:val="continue"/>
                  <w:vAlign w:val="center"/>
                </w:tcPr>
                <w:p>
                  <w:pPr>
                    <w:widowControl/>
                    <w:adjustRightInd w:val="0"/>
                    <w:snapToGrid w:val="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92" w:type="dxa"/>
                  <w:vMerge w:val="continue"/>
                  <w:vAlign w:val="center"/>
                </w:tcPr>
                <w:p>
                  <w:pPr>
                    <w:widowControl/>
                    <w:adjustRightInd w:val="0"/>
                    <w:snapToGrid w:val="0"/>
                    <w:rPr>
                      <w:rFonts w:ascii="Times New Roman" w:hAnsi="Times New Roman" w:eastAsia="宋体" w:cs="Times New Roman"/>
                      <w:szCs w:val="21"/>
                    </w:rPr>
                  </w:pPr>
                </w:p>
              </w:tc>
              <w:tc>
                <w:tcPr>
                  <w:tcW w:w="931" w:type="dxa"/>
                  <w:vMerge w:val="continue"/>
                  <w:vAlign w:val="center"/>
                </w:tcPr>
                <w:p>
                  <w:pPr>
                    <w:widowControl/>
                    <w:adjustRightInd w:val="0"/>
                    <w:snapToGrid w:val="0"/>
                    <w:rPr>
                      <w:rFonts w:ascii="Times New Roman" w:hAnsi="Times New Roman" w:eastAsia="宋体" w:cs="Times New Roman"/>
                      <w:szCs w:val="21"/>
                    </w:rPr>
                  </w:pPr>
                </w:p>
              </w:tc>
              <w:tc>
                <w:tcPr>
                  <w:tcW w:w="2138" w:type="dxa"/>
                  <w:vAlign w:val="center"/>
                </w:tcPr>
                <w:p>
                  <w:pPr>
                    <w:widowControl/>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河湾村民委员会（200户800人）</w:t>
                  </w:r>
                </w:p>
              </w:tc>
              <w:tc>
                <w:tcPr>
                  <w:tcW w:w="918" w:type="dxa"/>
                  <w:vAlign w:val="center"/>
                </w:tcPr>
                <w:p>
                  <w:pPr>
                    <w:widowControl/>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西南侧</w:t>
                  </w:r>
                </w:p>
              </w:tc>
              <w:tc>
                <w:tcPr>
                  <w:tcW w:w="1060" w:type="dxa"/>
                  <w:vAlign w:val="center"/>
                </w:tcPr>
                <w:p>
                  <w:pPr>
                    <w:widowControl/>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148</w:t>
                  </w:r>
                </w:p>
              </w:tc>
              <w:tc>
                <w:tcPr>
                  <w:tcW w:w="1737" w:type="dxa"/>
                  <w:vMerge w:val="continue"/>
                  <w:vAlign w:val="center"/>
                </w:tcPr>
                <w:p>
                  <w:pPr>
                    <w:widowControl/>
                    <w:adjustRightInd w:val="0"/>
                    <w:snapToGrid w:val="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1092" w:type="dxa"/>
                  <w:vMerge w:val="continue"/>
                  <w:vAlign w:val="center"/>
                </w:tcPr>
                <w:p>
                  <w:pPr>
                    <w:widowControl/>
                    <w:adjustRightInd w:val="0"/>
                    <w:snapToGrid w:val="0"/>
                    <w:rPr>
                      <w:rFonts w:ascii="Times New Roman" w:hAnsi="Times New Roman" w:eastAsia="宋体" w:cs="Times New Roman"/>
                      <w:szCs w:val="21"/>
                    </w:rPr>
                  </w:pPr>
                </w:p>
              </w:tc>
              <w:tc>
                <w:tcPr>
                  <w:tcW w:w="931" w:type="dxa"/>
                  <w:vMerge w:val="continue"/>
                  <w:vAlign w:val="center"/>
                </w:tcPr>
                <w:p>
                  <w:pPr>
                    <w:widowControl/>
                    <w:adjustRightInd w:val="0"/>
                    <w:snapToGrid w:val="0"/>
                    <w:rPr>
                      <w:rFonts w:ascii="Times New Roman" w:hAnsi="Times New Roman" w:eastAsia="宋体" w:cs="Times New Roman"/>
                      <w:szCs w:val="21"/>
                    </w:rPr>
                  </w:pPr>
                </w:p>
              </w:tc>
              <w:tc>
                <w:tcPr>
                  <w:tcW w:w="2138" w:type="dxa"/>
                  <w:vAlign w:val="center"/>
                </w:tcPr>
                <w:p>
                  <w:pPr>
                    <w:widowControl/>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马家庄（300户1200人）</w:t>
                  </w:r>
                </w:p>
              </w:tc>
              <w:tc>
                <w:tcPr>
                  <w:tcW w:w="918" w:type="dxa"/>
                  <w:vAlign w:val="center"/>
                </w:tcPr>
                <w:p>
                  <w:pPr>
                    <w:widowControl/>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西南侧</w:t>
                  </w:r>
                </w:p>
              </w:tc>
              <w:tc>
                <w:tcPr>
                  <w:tcW w:w="1060" w:type="dxa"/>
                  <w:vAlign w:val="center"/>
                </w:tcPr>
                <w:p>
                  <w:pPr>
                    <w:widowControl/>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352</w:t>
                  </w:r>
                </w:p>
              </w:tc>
              <w:tc>
                <w:tcPr>
                  <w:tcW w:w="1737" w:type="dxa"/>
                  <w:vMerge w:val="continue"/>
                  <w:vAlign w:val="center"/>
                </w:tcPr>
                <w:p>
                  <w:pPr>
                    <w:widowControl/>
                    <w:adjustRightInd w:val="0"/>
                    <w:snapToGrid w:val="0"/>
                    <w:jc w:val="center"/>
                    <w:rPr>
                      <w:rFonts w:ascii="Times New Roman" w:hAnsi="Times New Roman" w:eastAsia="宋体" w:cs="Times New Roman"/>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1092" w:type="dxa"/>
                  <w:vMerge w:val="continue"/>
                  <w:vAlign w:val="center"/>
                </w:tcPr>
                <w:p>
                  <w:pPr>
                    <w:widowControl/>
                    <w:adjustRightInd w:val="0"/>
                    <w:snapToGrid w:val="0"/>
                    <w:rPr>
                      <w:rFonts w:ascii="Times New Roman" w:hAnsi="Times New Roman" w:eastAsia="宋体" w:cs="Times New Roman"/>
                      <w:szCs w:val="21"/>
                    </w:rPr>
                  </w:pPr>
                </w:p>
              </w:tc>
              <w:tc>
                <w:tcPr>
                  <w:tcW w:w="931" w:type="dxa"/>
                  <w:vMerge w:val="continue"/>
                  <w:vAlign w:val="center"/>
                </w:tcPr>
                <w:p>
                  <w:pPr>
                    <w:widowControl/>
                    <w:adjustRightInd w:val="0"/>
                    <w:snapToGrid w:val="0"/>
                    <w:rPr>
                      <w:rFonts w:ascii="Times New Roman" w:hAnsi="Times New Roman" w:eastAsia="宋体" w:cs="Times New Roman"/>
                      <w:szCs w:val="21"/>
                    </w:rPr>
                  </w:pPr>
                </w:p>
              </w:tc>
              <w:tc>
                <w:tcPr>
                  <w:tcW w:w="2138" w:type="dxa"/>
                  <w:vAlign w:val="center"/>
                </w:tcPr>
                <w:p>
                  <w:pPr>
                    <w:widowControl/>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小村（300户1200人）</w:t>
                  </w:r>
                </w:p>
              </w:tc>
              <w:tc>
                <w:tcPr>
                  <w:tcW w:w="918" w:type="dxa"/>
                  <w:vAlign w:val="center"/>
                </w:tcPr>
                <w:p>
                  <w:pPr>
                    <w:widowControl/>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东侧</w:t>
                  </w:r>
                </w:p>
              </w:tc>
              <w:tc>
                <w:tcPr>
                  <w:tcW w:w="1060" w:type="dxa"/>
                  <w:vAlign w:val="center"/>
                </w:tcPr>
                <w:p>
                  <w:pPr>
                    <w:widowControl/>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220</w:t>
                  </w:r>
                </w:p>
              </w:tc>
              <w:tc>
                <w:tcPr>
                  <w:tcW w:w="1737" w:type="dxa"/>
                  <w:vMerge w:val="continue"/>
                  <w:vAlign w:val="center"/>
                </w:tcPr>
                <w:p>
                  <w:pPr>
                    <w:widowControl/>
                    <w:adjustRightInd w:val="0"/>
                    <w:snapToGrid w:val="0"/>
                    <w:jc w:val="center"/>
                    <w:rPr>
                      <w:rFonts w:ascii="Times New Roman" w:hAnsi="Times New Roman" w:eastAsia="宋体" w:cs="Times New Roman"/>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1092" w:type="dxa"/>
                  <w:vAlign w:val="center"/>
                </w:tcPr>
                <w:p>
                  <w:pPr>
                    <w:widowControl/>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声环境</w:t>
                  </w:r>
                </w:p>
              </w:tc>
              <w:tc>
                <w:tcPr>
                  <w:tcW w:w="6784" w:type="dxa"/>
                  <w:gridSpan w:val="5"/>
                  <w:vAlign w:val="center"/>
                </w:tcPr>
                <w:p>
                  <w:pPr>
                    <w:widowControl/>
                    <w:adjustRightInd w:val="0"/>
                    <w:snapToGrid w:val="0"/>
                    <w:rPr>
                      <w:rFonts w:ascii="Times New Roman" w:hAnsi="Times New Roman" w:eastAsia="宋体" w:cs="Times New Roman"/>
                      <w:szCs w:val="21"/>
                    </w:rPr>
                  </w:pPr>
                  <w:r>
                    <w:rPr>
                      <w:rFonts w:ascii="Times New Roman" w:hAnsi="Times New Roman" w:eastAsia="宋体" w:cs="Times New Roman"/>
                      <w:szCs w:val="21"/>
                    </w:rPr>
                    <w:t>项目区厂界外50m范围内无敏感点。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92" w:type="dxa"/>
                  <w:vAlign w:val="center"/>
                </w:tcPr>
                <w:p>
                  <w:pPr>
                    <w:widowControl/>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地下水</w:t>
                  </w:r>
                </w:p>
                <w:p>
                  <w:pPr>
                    <w:widowControl/>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环境</w:t>
                  </w:r>
                </w:p>
              </w:tc>
              <w:tc>
                <w:tcPr>
                  <w:tcW w:w="6784" w:type="dxa"/>
                  <w:gridSpan w:val="5"/>
                  <w:vAlign w:val="center"/>
                </w:tcPr>
                <w:p>
                  <w:pPr>
                    <w:widowControl/>
                    <w:adjustRightInd w:val="0"/>
                    <w:snapToGrid w:val="0"/>
                    <w:rPr>
                      <w:rFonts w:ascii="Times New Roman" w:hAnsi="Times New Roman" w:eastAsia="宋体" w:cs="Times New Roman"/>
                      <w:szCs w:val="21"/>
                    </w:rPr>
                  </w:pPr>
                  <w:r>
                    <w:rPr>
                      <w:rFonts w:ascii="Times New Roman" w:hAnsi="Times New Roman" w:eastAsia="宋体" w:cs="Times New Roman"/>
                      <w:szCs w:val="21"/>
                    </w:rPr>
                    <w:t>明确厂界外500米范围内无地下水集中式饮用水水源和热水、矿泉水、温泉等特殊地下水资源。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92" w:type="dxa"/>
                  <w:vAlign w:val="center"/>
                </w:tcPr>
                <w:p>
                  <w:pPr>
                    <w:widowControl/>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地表水</w:t>
                  </w:r>
                </w:p>
                <w:p>
                  <w:pPr>
                    <w:widowControl/>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环境</w:t>
                  </w:r>
                </w:p>
              </w:tc>
              <w:tc>
                <w:tcPr>
                  <w:tcW w:w="931" w:type="dxa"/>
                  <w:vAlign w:val="center"/>
                </w:tcPr>
                <w:p>
                  <w:pPr>
                    <w:widowControl/>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w:t>
                  </w:r>
                </w:p>
              </w:tc>
              <w:tc>
                <w:tcPr>
                  <w:tcW w:w="2138" w:type="dxa"/>
                  <w:vAlign w:val="center"/>
                </w:tcPr>
                <w:p>
                  <w:pPr>
                    <w:widowControl/>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北桥河</w:t>
                  </w:r>
                </w:p>
              </w:tc>
              <w:tc>
                <w:tcPr>
                  <w:tcW w:w="918" w:type="dxa"/>
                  <w:vAlign w:val="center"/>
                </w:tcPr>
                <w:p>
                  <w:pPr>
                    <w:widowControl/>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西侧</w:t>
                  </w:r>
                </w:p>
              </w:tc>
              <w:tc>
                <w:tcPr>
                  <w:tcW w:w="1060" w:type="dxa"/>
                  <w:vAlign w:val="center"/>
                </w:tcPr>
                <w:p>
                  <w:pPr>
                    <w:widowControl/>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15</w:t>
                  </w:r>
                </w:p>
              </w:tc>
              <w:tc>
                <w:tcPr>
                  <w:tcW w:w="1737" w:type="dxa"/>
                  <w:vAlign w:val="center"/>
                </w:tcPr>
                <w:p>
                  <w:pPr>
                    <w:widowControl/>
                    <w:adjustRightInd w:val="0"/>
                    <w:snapToGrid w:val="0"/>
                    <w:rPr>
                      <w:rFonts w:ascii="Times New Roman" w:hAnsi="Times New Roman" w:eastAsia="宋体" w:cs="Times New Roman"/>
                      <w:szCs w:val="21"/>
                    </w:rPr>
                  </w:pPr>
                  <w:r>
                    <w:rPr>
                      <w:rFonts w:ascii="Times New Roman" w:hAnsi="Times New Roman" w:eastAsia="宋体" w:cs="Times New Roman"/>
                      <w:szCs w:val="21"/>
                    </w:rPr>
                    <w:t>《地表水环境质量标准》（GB3838—2002）Ⅲ类标准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92" w:type="dxa"/>
                  <w:vAlign w:val="center"/>
                </w:tcPr>
                <w:p>
                  <w:pPr>
                    <w:tabs>
                      <w:tab w:val="left" w:pos="2395"/>
                    </w:tabs>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生态环境</w:t>
                  </w:r>
                </w:p>
              </w:tc>
              <w:tc>
                <w:tcPr>
                  <w:tcW w:w="6784" w:type="dxa"/>
                  <w:gridSpan w:val="5"/>
                  <w:vAlign w:val="center"/>
                </w:tcPr>
                <w:p>
                  <w:pPr>
                    <w:tabs>
                      <w:tab w:val="left" w:pos="2395"/>
                    </w:tabs>
                    <w:adjustRightInd w:val="0"/>
                    <w:snapToGrid w:val="0"/>
                    <w:rPr>
                      <w:rFonts w:ascii="Times New Roman" w:hAnsi="Times New Roman" w:eastAsia="宋体" w:cs="Times New Roman"/>
                      <w:szCs w:val="21"/>
                    </w:rPr>
                  </w:pPr>
                  <w:r>
                    <w:rPr>
                      <w:rFonts w:ascii="Times New Roman" w:hAnsi="Times New Roman" w:eastAsia="宋体" w:cs="Times New Roman"/>
                      <w:szCs w:val="21"/>
                    </w:rPr>
                    <w:t>保护项目区周围现有植被及动物不被破坏，区域生态环境质量不降低</w:t>
                  </w:r>
                  <w:r>
                    <w:rPr>
                      <w:rFonts w:hint="eastAsia" w:ascii="Times New Roman" w:hAnsi="Times New Roman" w:eastAsia="宋体" w:cs="Times New Roman"/>
                      <w:szCs w:val="21"/>
                    </w:rPr>
                    <w:t>，保护北桥河岸线生态环境质量不降低、河道行洪安全</w:t>
                  </w:r>
                  <w:r>
                    <w:rPr>
                      <w:rFonts w:ascii="Times New Roman" w:hAnsi="Times New Roman" w:eastAsia="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92" w:type="dxa"/>
                  <w:vAlign w:val="center"/>
                </w:tcPr>
                <w:p>
                  <w:pPr>
                    <w:tabs>
                      <w:tab w:val="left" w:pos="2395"/>
                    </w:tabs>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基本农田</w:t>
                  </w:r>
                </w:p>
              </w:tc>
              <w:tc>
                <w:tcPr>
                  <w:tcW w:w="6784" w:type="dxa"/>
                  <w:gridSpan w:val="5"/>
                  <w:vAlign w:val="center"/>
                </w:tcPr>
                <w:p>
                  <w:pPr>
                    <w:tabs>
                      <w:tab w:val="left" w:pos="2395"/>
                    </w:tabs>
                    <w:adjustRightInd w:val="0"/>
                    <w:snapToGrid w:val="0"/>
                    <w:rPr>
                      <w:rFonts w:ascii="Times New Roman" w:hAnsi="Times New Roman" w:eastAsia="宋体" w:cs="Times New Roman"/>
                      <w:szCs w:val="21"/>
                    </w:rPr>
                  </w:pPr>
                  <w:r>
                    <w:rPr>
                      <w:rFonts w:ascii="Times New Roman" w:hAnsi="Times New Roman" w:eastAsia="宋体" w:cs="Times New Roman"/>
                      <w:szCs w:val="21"/>
                    </w:rPr>
                    <w:t>本项目要求项目区在建设过程中禁止踩踏、压占基本农田以及破坏农田保护基础设施等。</w:t>
                  </w:r>
                </w:p>
              </w:tc>
            </w:tr>
          </w:tbl>
          <w:p>
            <w:pPr>
              <w:pStyle w:val="43"/>
              <w:widowControl w:val="0"/>
              <w:ind w:firstLine="0" w:firstLineChars="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jc w:val="center"/>
        </w:trPr>
        <w:tc>
          <w:tcPr>
            <w:tcW w:w="269" w:type="pct"/>
          </w:tcPr>
          <w:p>
            <w:pPr>
              <w:spacing w:line="360" w:lineRule="auto"/>
              <w:rPr>
                <w:rFonts w:ascii="Times New Roman" w:hAnsi="Times New Roman" w:eastAsia="宋体" w:cs="Times New Roman"/>
                <w:kern w:val="0"/>
                <w:sz w:val="22"/>
                <w:szCs w:val="22"/>
                <w:lang w:bidi="ar"/>
              </w:rPr>
            </w:pPr>
            <w:r>
              <w:rPr>
                <w:rFonts w:ascii="Times New Roman" w:hAnsi="Times New Roman" w:eastAsia="宋体" w:cs="Times New Roman"/>
                <w:kern w:val="0"/>
                <w:sz w:val="24"/>
                <w:lang w:bidi="ar"/>
              </w:rPr>
              <w:t>污染物排放控制标准</w:t>
            </w:r>
          </w:p>
        </w:tc>
        <w:tc>
          <w:tcPr>
            <w:tcW w:w="4730" w:type="pct"/>
          </w:tcPr>
          <w:p>
            <w:pPr>
              <w:spacing w:line="360" w:lineRule="auto"/>
              <w:ind w:firstLine="482" w:firstLineChars="200"/>
              <w:rPr>
                <w:rFonts w:ascii="Times New Roman" w:hAnsi="Times New Roman" w:eastAsia="宋体" w:cs="Times New Roman"/>
                <w:b/>
                <w:bCs/>
                <w:sz w:val="24"/>
              </w:rPr>
            </w:pPr>
            <w:r>
              <w:rPr>
                <w:rFonts w:ascii="Times New Roman" w:hAnsi="Times New Roman" w:eastAsia="宋体" w:cs="Times New Roman"/>
                <w:b/>
                <w:bCs/>
                <w:sz w:val="24"/>
              </w:rPr>
              <w:t>1、废气</w:t>
            </w:r>
          </w:p>
          <w:p>
            <w:pPr>
              <w:pStyle w:val="66"/>
              <w:adjustRightInd/>
              <w:snapToGrid/>
              <w:ind w:firstLine="482"/>
              <w:rPr>
                <w:b/>
                <w:bCs w:val="0"/>
              </w:rPr>
            </w:pPr>
            <w:r>
              <w:rPr>
                <w:b/>
                <w:bCs w:val="0"/>
              </w:rPr>
              <w:t>（1）施工期</w:t>
            </w:r>
          </w:p>
          <w:p>
            <w:pPr>
              <w:pStyle w:val="66"/>
              <w:adjustRightInd/>
              <w:snapToGrid/>
              <w:ind w:firstLine="480"/>
            </w:pPr>
            <w:r>
              <w:t>项目施工期大气污染物排放执行《大气污染物综合排放标准》（GB16297-1996）表2中无组织排放监控浓度要求，详见表3-</w:t>
            </w:r>
            <w:r>
              <w:rPr>
                <w:rFonts w:hint="eastAsia"/>
              </w:rPr>
              <w:t>4</w:t>
            </w:r>
            <w:r>
              <w:t>。</w:t>
            </w:r>
          </w:p>
          <w:p>
            <w:pPr>
              <w:pStyle w:val="66"/>
              <w:spacing w:line="240" w:lineRule="auto"/>
              <w:ind w:firstLine="0" w:firstLineChars="0"/>
              <w:jc w:val="center"/>
              <w:rPr>
                <w:sz w:val="21"/>
                <w:szCs w:val="21"/>
              </w:rPr>
            </w:pPr>
            <w:r>
              <w:rPr>
                <w:b/>
                <w:sz w:val="21"/>
                <w:szCs w:val="21"/>
              </w:rPr>
              <w:t>表3-</w:t>
            </w:r>
            <w:r>
              <w:rPr>
                <w:rFonts w:hint="eastAsia"/>
                <w:b/>
                <w:sz w:val="21"/>
                <w:szCs w:val="21"/>
              </w:rPr>
              <w:t>4</w:t>
            </w:r>
            <w:r>
              <w:rPr>
                <w:b/>
                <w:sz w:val="21"/>
                <w:szCs w:val="21"/>
              </w:rPr>
              <w:t xml:space="preserve"> 大气污染物综合排放标准（摘录）</w:t>
            </w:r>
          </w:p>
          <w:tbl>
            <w:tblPr>
              <w:tblStyle w:val="30"/>
              <w:tblW w:w="78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04"/>
              <w:gridCol w:w="3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004" w:type="dxa"/>
                  <w:vAlign w:val="center"/>
                </w:tcPr>
                <w:p>
                  <w:pPr>
                    <w:pStyle w:val="66"/>
                    <w:spacing w:line="240" w:lineRule="auto"/>
                    <w:ind w:firstLine="0" w:firstLineChars="0"/>
                    <w:jc w:val="center"/>
                    <w:rPr>
                      <w:b/>
                      <w:bCs w:val="0"/>
                      <w:sz w:val="21"/>
                      <w:szCs w:val="21"/>
                    </w:rPr>
                  </w:pPr>
                  <w:r>
                    <w:rPr>
                      <w:b/>
                      <w:bCs w:val="0"/>
                      <w:sz w:val="21"/>
                      <w:szCs w:val="21"/>
                    </w:rPr>
                    <w:t>污染物</w:t>
                  </w:r>
                </w:p>
              </w:tc>
              <w:tc>
                <w:tcPr>
                  <w:tcW w:w="3815" w:type="dxa"/>
                  <w:vAlign w:val="center"/>
                </w:tcPr>
                <w:p>
                  <w:pPr>
                    <w:pStyle w:val="66"/>
                    <w:spacing w:line="240" w:lineRule="auto"/>
                    <w:ind w:firstLine="0" w:firstLineChars="0"/>
                    <w:jc w:val="center"/>
                    <w:rPr>
                      <w:b/>
                      <w:bCs w:val="0"/>
                      <w:sz w:val="21"/>
                      <w:szCs w:val="21"/>
                    </w:rPr>
                  </w:pPr>
                  <w:r>
                    <w:rPr>
                      <w:b/>
                      <w:bCs w:val="0"/>
                      <w:sz w:val="21"/>
                      <w:szCs w:val="21"/>
                    </w:rPr>
                    <w:t>无组织排放监控浓度（mg/m</w:t>
                  </w:r>
                  <w:r>
                    <w:rPr>
                      <w:b/>
                      <w:bCs w:val="0"/>
                      <w:sz w:val="21"/>
                      <w:szCs w:val="21"/>
                      <w:vertAlign w:val="superscript"/>
                    </w:rPr>
                    <w:t>3</w:t>
                  </w:r>
                  <w:r>
                    <w:rPr>
                      <w:b/>
                      <w:bCs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4004" w:type="dxa"/>
                  <w:vAlign w:val="center"/>
                </w:tcPr>
                <w:p>
                  <w:pPr>
                    <w:pStyle w:val="66"/>
                    <w:spacing w:line="240" w:lineRule="auto"/>
                    <w:ind w:firstLine="0" w:firstLineChars="0"/>
                    <w:jc w:val="center"/>
                    <w:rPr>
                      <w:sz w:val="21"/>
                      <w:szCs w:val="21"/>
                    </w:rPr>
                  </w:pPr>
                  <w:r>
                    <w:rPr>
                      <w:sz w:val="21"/>
                      <w:szCs w:val="21"/>
                    </w:rPr>
                    <w:t>颗粒物</w:t>
                  </w:r>
                </w:p>
              </w:tc>
              <w:tc>
                <w:tcPr>
                  <w:tcW w:w="3815" w:type="dxa"/>
                  <w:vAlign w:val="center"/>
                </w:tcPr>
                <w:p>
                  <w:pPr>
                    <w:pStyle w:val="66"/>
                    <w:spacing w:line="240" w:lineRule="auto"/>
                    <w:ind w:firstLine="0" w:firstLineChars="0"/>
                    <w:jc w:val="center"/>
                    <w:rPr>
                      <w:sz w:val="21"/>
                      <w:szCs w:val="21"/>
                    </w:rPr>
                  </w:pPr>
                  <w:r>
                    <w:rPr>
                      <w:sz w:val="21"/>
                      <w:szCs w:val="21"/>
                    </w:rPr>
                    <w:t>1.0</w:t>
                  </w:r>
                </w:p>
              </w:tc>
            </w:tr>
          </w:tbl>
          <w:p>
            <w:pPr>
              <w:pStyle w:val="7"/>
              <w:adjustRightInd w:val="0"/>
              <w:snapToGrid w:val="0"/>
              <w:spacing w:line="360" w:lineRule="auto"/>
              <w:ind w:firstLine="482" w:firstLineChars="200"/>
              <w:rPr>
                <w:rFonts w:ascii="Times New Roman" w:hAnsi="Times New Roman" w:eastAsia="宋体" w:cs="Times New Roman"/>
                <w:lang w:bidi="ar"/>
              </w:rPr>
            </w:pPr>
            <w:r>
              <w:rPr>
                <w:rFonts w:ascii="Times New Roman" w:hAnsi="Times New Roman" w:eastAsia="宋体" w:cs="Times New Roman"/>
                <w:b/>
              </w:rPr>
              <w:t>（2）运营期</w:t>
            </w:r>
          </w:p>
          <w:p>
            <w:pPr>
              <w:widowControl/>
              <w:adjustRightInd w:val="0"/>
              <w:snapToGrid w:val="0"/>
              <w:spacing w:line="360" w:lineRule="auto"/>
              <w:ind w:firstLine="480" w:firstLineChars="200"/>
              <w:rPr>
                <w:rFonts w:ascii="Times New Roman" w:hAnsi="Times New Roman" w:eastAsia="宋体" w:cs="Times New Roman"/>
                <w:kern w:val="0"/>
                <w:sz w:val="24"/>
                <w:lang w:bidi="ar"/>
              </w:rPr>
            </w:pPr>
            <w:r>
              <w:rPr>
                <w:rFonts w:hint="eastAsia" w:ascii="Times New Roman" w:hAnsi="Times New Roman" w:eastAsia="宋体" w:cs="Times New Roman"/>
                <w:kern w:val="0"/>
                <w:sz w:val="24"/>
                <w:lang w:bidi="ar"/>
              </w:rPr>
              <w:t>项目区产生</w:t>
            </w:r>
            <w:r>
              <w:rPr>
                <w:rFonts w:ascii="Times New Roman" w:hAnsi="Times New Roman" w:eastAsia="宋体" w:cs="Times New Roman"/>
                <w:kern w:val="0"/>
                <w:sz w:val="24"/>
                <w:lang w:bidi="ar"/>
              </w:rPr>
              <w:t>的粉尘呈无组织排放，排放执行</w:t>
            </w:r>
            <w:r>
              <w:rPr>
                <w:rFonts w:ascii="Times New Roman" w:hAnsi="Times New Roman" w:eastAsia="宋体" w:cs="Times New Roman"/>
                <w:sz w:val="24"/>
              </w:rPr>
              <w:t>《大气污染物综合排放标准》（GB16297-1996）表2新污染源大气污染物排放限值中的无组织排放监控浓度限值</w:t>
            </w:r>
            <w:r>
              <w:rPr>
                <w:rFonts w:ascii="Times New Roman" w:hAnsi="Times New Roman" w:eastAsia="宋体" w:cs="Times New Roman"/>
                <w:kern w:val="0"/>
                <w:sz w:val="24"/>
                <w:lang w:bidi="ar"/>
              </w:rPr>
              <w:t>，标准限值详见下表</w:t>
            </w:r>
            <w:r>
              <w:rPr>
                <w:rFonts w:ascii="Times New Roman" w:hAnsi="Times New Roman" w:eastAsia="宋体" w:cs="Times New Roman"/>
                <w:sz w:val="24"/>
              </w:rPr>
              <w:t>3</w:t>
            </w:r>
            <w:r>
              <w:rPr>
                <w:rFonts w:ascii="Times New Roman" w:hAnsi="Times New Roman" w:eastAsia="宋体" w:cs="Times New Roman"/>
                <w:sz w:val="24"/>
                <w:lang w:val="zh-CN"/>
              </w:rPr>
              <w:t>-</w:t>
            </w:r>
            <w:r>
              <w:rPr>
                <w:rFonts w:hint="eastAsia" w:ascii="Times New Roman" w:hAnsi="Times New Roman" w:eastAsia="宋体" w:cs="Times New Roman"/>
                <w:sz w:val="24"/>
              </w:rPr>
              <w:t>5</w:t>
            </w:r>
            <w:r>
              <w:rPr>
                <w:rFonts w:ascii="Times New Roman" w:hAnsi="Times New Roman" w:eastAsia="宋体" w:cs="Times New Roman"/>
                <w:kern w:val="0"/>
                <w:sz w:val="24"/>
                <w:lang w:bidi="ar"/>
              </w:rPr>
              <w:t>。</w:t>
            </w:r>
          </w:p>
          <w:p>
            <w:pPr>
              <w:pStyle w:val="25"/>
              <w:shd w:val="clear" w:color="auto" w:fill="FFFFFF"/>
              <w:adjustRightInd w:val="0"/>
              <w:snapToGrid w:val="0"/>
              <w:spacing w:before="0" w:beforeAutospacing="0" w:after="0" w:afterAutospacing="0"/>
              <w:jc w:val="center"/>
              <w:rPr>
                <w:rStyle w:val="32"/>
                <w:rFonts w:ascii="Times New Roman" w:hAnsi="Times New Roman" w:eastAsia="宋体" w:cs="Times New Roman"/>
                <w:szCs w:val="21"/>
                <w:shd w:val="clear" w:color="auto" w:fill="FFFFFF"/>
              </w:rPr>
            </w:pPr>
            <w:r>
              <w:rPr>
                <w:rStyle w:val="32"/>
                <w:rFonts w:ascii="Times New Roman" w:hAnsi="Times New Roman" w:eastAsia="宋体" w:cs="Times New Roman"/>
                <w:szCs w:val="21"/>
                <w:shd w:val="clear" w:color="auto" w:fill="FFFFFF"/>
              </w:rPr>
              <w:t>表</w:t>
            </w:r>
            <w:r>
              <w:rPr>
                <w:rFonts w:ascii="Times New Roman" w:hAnsi="Times New Roman" w:eastAsia="宋体" w:cs="Times New Roman"/>
                <w:b/>
                <w:sz w:val="21"/>
                <w:szCs w:val="21"/>
              </w:rPr>
              <w:t>3</w:t>
            </w:r>
            <w:r>
              <w:rPr>
                <w:rFonts w:ascii="Times New Roman" w:hAnsi="Times New Roman" w:eastAsia="宋体" w:cs="Times New Roman"/>
                <w:b/>
                <w:sz w:val="21"/>
                <w:szCs w:val="21"/>
                <w:lang w:val="zh-CN"/>
              </w:rPr>
              <w:t>-</w:t>
            </w:r>
            <w:r>
              <w:rPr>
                <w:rFonts w:hint="eastAsia" w:ascii="Times New Roman" w:hAnsi="Times New Roman" w:eastAsia="宋体" w:cs="Times New Roman"/>
                <w:b/>
                <w:sz w:val="21"/>
                <w:szCs w:val="21"/>
              </w:rPr>
              <w:t>5</w:t>
            </w:r>
            <w:r>
              <w:rPr>
                <w:rStyle w:val="32"/>
                <w:rFonts w:ascii="Times New Roman" w:hAnsi="Times New Roman" w:eastAsia="宋体" w:cs="Times New Roman"/>
                <w:szCs w:val="21"/>
                <w:shd w:val="clear" w:color="auto" w:fill="FFFFFF"/>
              </w:rPr>
              <w:t xml:space="preserve"> </w:t>
            </w:r>
            <w:r>
              <w:rPr>
                <w:rFonts w:ascii="Times New Roman" w:hAnsi="Times New Roman" w:eastAsia="宋体" w:cs="Times New Roman"/>
                <w:b/>
                <w:sz w:val="21"/>
                <w:szCs w:val="21"/>
              </w:rPr>
              <w:t>大气污染物综合排放标准</w:t>
            </w:r>
          </w:p>
          <w:tbl>
            <w:tblPr>
              <w:tblStyle w:val="30"/>
              <w:tblW w:w="7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68"/>
              <w:gridCol w:w="4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47" w:type="pct"/>
                  <w:tcBorders>
                    <w:tl2br w:val="nil"/>
                    <w:tr2bl w:val="nil"/>
                  </w:tcBorders>
                  <w:vAlign w:val="center"/>
                </w:tcPr>
                <w:p>
                  <w:pPr>
                    <w:adjustRightInd w:val="0"/>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污染物名称</w:t>
                  </w:r>
                </w:p>
              </w:tc>
              <w:tc>
                <w:tcPr>
                  <w:tcW w:w="3052" w:type="pct"/>
                  <w:tcBorders>
                    <w:tl2br w:val="nil"/>
                    <w:tr2bl w:val="nil"/>
                  </w:tcBorders>
                  <w:vAlign w:val="center"/>
                </w:tcPr>
                <w:p>
                  <w:pPr>
                    <w:adjustRightInd w:val="0"/>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无组织排放浓度（mg/m</w:t>
                  </w:r>
                  <w:r>
                    <w:rPr>
                      <w:rFonts w:ascii="Times New Roman" w:hAnsi="Times New Roman" w:eastAsia="宋体" w:cs="Times New Roman"/>
                      <w:b/>
                      <w:bCs/>
                      <w:szCs w:val="21"/>
                      <w:vertAlign w:val="superscript"/>
                    </w:rPr>
                    <w:t>3</w:t>
                  </w:r>
                  <w:r>
                    <w:rPr>
                      <w:rFonts w:ascii="Times New Roman" w:hAnsi="Times New Roman" w:eastAsia="宋体" w:cs="Times New Roman"/>
                      <w:b/>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47" w:type="pct"/>
                  <w:tcBorders>
                    <w:tl2br w:val="nil"/>
                    <w:tr2bl w:val="nil"/>
                  </w:tcBorders>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颗粒物</w:t>
                  </w:r>
                </w:p>
              </w:tc>
              <w:tc>
                <w:tcPr>
                  <w:tcW w:w="3052" w:type="pct"/>
                  <w:tcBorders>
                    <w:tl2br w:val="nil"/>
                    <w:tr2bl w:val="nil"/>
                  </w:tcBorders>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1.0</w:t>
                  </w:r>
                </w:p>
              </w:tc>
            </w:tr>
          </w:tbl>
          <w:p>
            <w:pPr>
              <w:spacing w:line="360" w:lineRule="auto"/>
              <w:ind w:firstLine="482" w:firstLineChars="200"/>
              <w:rPr>
                <w:rFonts w:ascii="Times New Roman" w:hAnsi="Times New Roman" w:eastAsia="宋体" w:cs="Times New Roman"/>
                <w:b/>
                <w:bCs/>
                <w:sz w:val="24"/>
              </w:rPr>
            </w:pPr>
            <w:r>
              <w:rPr>
                <w:rFonts w:ascii="Times New Roman" w:hAnsi="Times New Roman" w:eastAsia="宋体" w:cs="Times New Roman"/>
                <w:b/>
                <w:bCs/>
                <w:sz w:val="24"/>
              </w:rPr>
              <w:t>2、废水</w:t>
            </w:r>
          </w:p>
          <w:p>
            <w:pPr>
              <w:widowControl/>
              <w:spacing w:line="360" w:lineRule="auto"/>
              <w:ind w:firstLine="480" w:firstLineChars="200"/>
              <w:rPr>
                <w:rFonts w:ascii="Times New Roman" w:hAnsi="Times New Roman" w:eastAsia="宋体" w:cs="Times New Roman"/>
                <w:kern w:val="0"/>
                <w:sz w:val="24"/>
                <w:lang w:bidi="ar"/>
              </w:rPr>
            </w:pPr>
            <w:r>
              <w:rPr>
                <w:rFonts w:ascii="Times New Roman" w:hAnsi="Times New Roman" w:eastAsia="宋体" w:cs="Times New Roman"/>
                <w:sz w:val="24"/>
                <w:lang w:val="zh-CN"/>
              </w:rPr>
              <w:t>本项目采取雨污分流，雨水直接排入</w:t>
            </w:r>
            <w:r>
              <w:rPr>
                <w:rFonts w:hint="eastAsia" w:ascii="Times New Roman" w:hAnsi="Times New Roman" w:eastAsia="宋体" w:cs="Times New Roman"/>
                <w:sz w:val="24"/>
              </w:rPr>
              <w:t>北桥河</w:t>
            </w:r>
            <w:r>
              <w:rPr>
                <w:rFonts w:ascii="Times New Roman" w:hAnsi="Times New Roman" w:eastAsia="宋体" w:cs="Times New Roman"/>
                <w:sz w:val="24"/>
                <w:lang w:val="zh-CN"/>
              </w:rPr>
              <w:t>。</w:t>
            </w:r>
            <w:r>
              <w:rPr>
                <w:rFonts w:ascii="Times New Roman" w:hAnsi="Times New Roman" w:eastAsia="宋体" w:cs="Times New Roman"/>
                <w:sz w:val="24"/>
              </w:rPr>
              <w:t>本项目用水主要为办公生活用水、</w:t>
            </w:r>
            <w:r>
              <w:rPr>
                <w:rFonts w:hint="eastAsia" w:ascii="Times New Roman" w:hAnsi="Times New Roman" w:eastAsia="宋体" w:cs="Times New Roman"/>
                <w:sz w:val="24"/>
              </w:rPr>
              <w:t>洗沙</w:t>
            </w:r>
            <w:r>
              <w:rPr>
                <w:rFonts w:ascii="Times New Roman" w:hAnsi="Times New Roman" w:eastAsia="宋体" w:cs="Times New Roman"/>
                <w:sz w:val="24"/>
              </w:rPr>
              <w:t>用水、绿化用水。</w:t>
            </w:r>
            <w:r>
              <w:rPr>
                <w:rFonts w:hint="eastAsia" w:ascii="Times New Roman" w:hAnsi="Times New Roman" w:eastAsia="宋体" w:cs="Times New Roman"/>
                <w:sz w:val="24"/>
              </w:rPr>
              <w:t>洗沙</w:t>
            </w:r>
            <w:r>
              <w:rPr>
                <w:rFonts w:ascii="Times New Roman" w:hAnsi="Times New Roman" w:eastAsia="宋体" w:cs="Times New Roman"/>
                <w:sz w:val="24"/>
              </w:rPr>
              <w:t>用水循环使用，不外排</w:t>
            </w:r>
            <w:r>
              <w:rPr>
                <w:rFonts w:ascii="Times New Roman" w:hAnsi="Times New Roman" w:eastAsia="宋体" w:cs="Times New Roman"/>
                <w:sz w:val="24"/>
                <w:lang w:val="zh-CN"/>
              </w:rPr>
              <w:t>；</w:t>
            </w:r>
            <w:r>
              <w:rPr>
                <w:rFonts w:ascii="Times New Roman" w:hAnsi="Times New Roman" w:eastAsia="宋体" w:cs="Times New Roman"/>
                <w:sz w:val="24"/>
              </w:rPr>
              <w:t>办公生活污水</w:t>
            </w:r>
            <w:r>
              <w:rPr>
                <w:rFonts w:hint="eastAsia" w:ascii="Times New Roman" w:hAnsi="Times New Roman" w:eastAsia="宋体" w:cs="Times New Roman"/>
                <w:sz w:val="24"/>
              </w:rPr>
              <w:t>经化粪池处理后，委托当地居民清掏用作农肥使用</w:t>
            </w:r>
            <w:r>
              <w:rPr>
                <w:rFonts w:ascii="Times New Roman" w:hAnsi="Times New Roman" w:eastAsia="宋体" w:cs="Times New Roman"/>
                <w:kern w:val="0"/>
                <w:sz w:val="24"/>
                <w:lang w:bidi="ar"/>
              </w:rPr>
              <w:t>。</w:t>
            </w:r>
          </w:p>
          <w:p>
            <w:pPr>
              <w:spacing w:line="360" w:lineRule="auto"/>
              <w:ind w:firstLine="482" w:firstLineChars="200"/>
              <w:rPr>
                <w:rFonts w:ascii="Times New Roman" w:hAnsi="Times New Roman" w:eastAsia="宋体" w:cs="Times New Roman"/>
                <w:b/>
                <w:bCs/>
                <w:sz w:val="24"/>
              </w:rPr>
            </w:pPr>
            <w:r>
              <w:rPr>
                <w:rFonts w:ascii="Times New Roman" w:hAnsi="Times New Roman" w:eastAsia="宋体" w:cs="Times New Roman"/>
                <w:b/>
                <w:bCs/>
                <w:sz w:val="24"/>
              </w:rPr>
              <w:t>3、噪声</w:t>
            </w:r>
          </w:p>
          <w:p>
            <w:pPr>
              <w:tabs>
                <w:tab w:val="left" w:pos="0"/>
              </w:tabs>
              <w:adjustRightInd w:val="0"/>
              <w:spacing w:line="360" w:lineRule="auto"/>
              <w:ind w:firstLine="480" w:firstLineChars="200"/>
              <w:rPr>
                <w:rFonts w:ascii="Times New Roman" w:hAnsi="Times New Roman" w:eastAsia="宋体" w:cs="Times New Roman"/>
                <w:sz w:val="24"/>
                <w:szCs w:val="30"/>
              </w:rPr>
            </w:pPr>
            <w:r>
              <w:rPr>
                <w:rFonts w:ascii="Times New Roman" w:hAnsi="Times New Roman" w:eastAsia="宋体" w:cs="Times New Roman"/>
                <w:sz w:val="24"/>
              </w:rPr>
              <w:t>本项目区位于</w:t>
            </w:r>
            <w:r>
              <w:rPr>
                <w:rFonts w:hint="eastAsia" w:ascii="Times New Roman" w:hAnsi="Times New Roman" w:eastAsia="宋体" w:cs="Times New Roman"/>
                <w:sz w:val="24"/>
              </w:rPr>
              <w:t>云县爱华镇河湾村委会马家庄组</w:t>
            </w:r>
            <w:r>
              <w:rPr>
                <w:rFonts w:ascii="Times New Roman" w:hAnsi="Times New Roman" w:eastAsia="宋体" w:cs="Times New Roman"/>
                <w:sz w:val="24"/>
                <w:szCs w:val="30"/>
              </w:rPr>
              <w:t>，</w:t>
            </w:r>
            <w:r>
              <w:rPr>
                <w:rFonts w:ascii="Times New Roman" w:hAnsi="Times New Roman" w:eastAsia="宋体" w:cs="Times New Roman"/>
                <w:bCs/>
                <w:sz w:val="24"/>
              </w:rPr>
              <w:t>项目区</w:t>
            </w:r>
            <w:r>
              <w:rPr>
                <w:rFonts w:ascii="Times New Roman" w:hAnsi="Times New Roman" w:eastAsia="宋体" w:cs="Times New Roman"/>
                <w:sz w:val="24"/>
                <w:szCs w:val="30"/>
              </w:rPr>
              <w:t>噪声排放执行《工业企业厂界环境噪声排放标准》（GB12348-2008）</w:t>
            </w:r>
            <w:r>
              <w:rPr>
                <w:rFonts w:hint="eastAsia" w:ascii="Times New Roman" w:hAnsi="Times New Roman" w:eastAsia="宋体" w:cs="Times New Roman"/>
                <w:sz w:val="24"/>
                <w:szCs w:val="30"/>
              </w:rPr>
              <w:t>2</w:t>
            </w:r>
            <w:r>
              <w:rPr>
                <w:rFonts w:ascii="Times New Roman" w:hAnsi="Times New Roman" w:eastAsia="宋体" w:cs="Times New Roman"/>
                <w:sz w:val="24"/>
                <w:szCs w:val="30"/>
              </w:rPr>
              <w:t>类标准</w:t>
            </w:r>
            <w:r>
              <w:rPr>
                <w:rFonts w:ascii="Times New Roman" w:hAnsi="Times New Roman" w:eastAsia="宋体" w:cs="Times New Roman"/>
                <w:bCs/>
                <w:sz w:val="24"/>
              </w:rPr>
              <w:t>。</w:t>
            </w:r>
          </w:p>
          <w:p>
            <w:pPr>
              <w:adjustRightInd w:val="0"/>
              <w:snapToGrid w:val="0"/>
              <w:jc w:val="center"/>
              <w:rPr>
                <w:rFonts w:ascii="Times New Roman" w:hAnsi="Times New Roman" w:eastAsia="宋体" w:cs="Times New Roman"/>
                <w:b/>
                <w:bCs/>
              </w:rPr>
            </w:pPr>
            <w:r>
              <w:rPr>
                <w:rFonts w:ascii="Times New Roman" w:hAnsi="Times New Roman" w:eastAsia="宋体" w:cs="Times New Roman"/>
                <w:b/>
                <w:bCs/>
              </w:rPr>
              <w:t>表3-</w:t>
            </w:r>
            <w:r>
              <w:rPr>
                <w:rFonts w:hint="eastAsia" w:ascii="Times New Roman" w:hAnsi="Times New Roman" w:eastAsia="宋体" w:cs="Times New Roman"/>
                <w:b/>
                <w:bCs/>
              </w:rPr>
              <w:t>6</w:t>
            </w:r>
            <w:r>
              <w:rPr>
                <w:rFonts w:ascii="Times New Roman" w:hAnsi="Times New Roman" w:eastAsia="宋体" w:cs="Times New Roman"/>
                <w:b/>
                <w:bCs/>
              </w:rPr>
              <w:t xml:space="preserve"> 噪声评价标准   单位：dB（A）</w:t>
            </w:r>
          </w:p>
          <w:tbl>
            <w:tblPr>
              <w:tblStyle w:val="30"/>
              <w:tblW w:w="79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3719"/>
              <w:gridCol w:w="1800"/>
              <w:gridCol w:w="1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1003" w:type="dxa"/>
                  <w:vMerge w:val="restart"/>
                  <w:vAlign w:val="center"/>
                </w:tcPr>
                <w:p>
                  <w:pPr>
                    <w:adjustRightInd w:val="0"/>
                    <w:snapToGrid w:val="0"/>
                    <w:jc w:val="center"/>
                    <w:rPr>
                      <w:rFonts w:ascii="Times New Roman" w:hAnsi="Times New Roman" w:eastAsia="宋体" w:cs="Times New Roman"/>
                      <w:b/>
                      <w:bCs/>
                    </w:rPr>
                  </w:pPr>
                  <w:r>
                    <w:rPr>
                      <w:rFonts w:ascii="Times New Roman" w:hAnsi="Times New Roman" w:eastAsia="宋体" w:cs="Times New Roman"/>
                      <w:b/>
                      <w:bCs/>
                    </w:rPr>
                    <w:t>阶段</w:t>
                  </w:r>
                </w:p>
              </w:tc>
              <w:tc>
                <w:tcPr>
                  <w:tcW w:w="3719" w:type="dxa"/>
                  <w:vMerge w:val="restart"/>
                  <w:vAlign w:val="center"/>
                </w:tcPr>
                <w:p>
                  <w:pPr>
                    <w:adjustRightInd w:val="0"/>
                    <w:snapToGrid w:val="0"/>
                    <w:ind w:firstLine="413"/>
                    <w:jc w:val="center"/>
                    <w:rPr>
                      <w:rFonts w:ascii="Times New Roman" w:hAnsi="Times New Roman" w:eastAsia="宋体" w:cs="Times New Roman"/>
                      <w:b/>
                      <w:bCs/>
                    </w:rPr>
                  </w:pPr>
                  <w:r>
                    <w:rPr>
                      <w:rFonts w:ascii="Times New Roman" w:hAnsi="Times New Roman" w:eastAsia="宋体" w:cs="Times New Roman"/>
                      <w:b/>
                      <w:bCs/>
                    </w:rPr>
                    <w:t>执行标准</w:t>
                  </w:r>
                </w:p>
              </w:tc>
              <w:tc>
                <w:tcPr>
                  <w:tcW w:w="3252" w:type="dxa"/>
                  <w:gridSpan w:val="2"/>
                  <w:vAlign w:val="center"/>
                </w:tcPr>
                <w:p>
                  <w:pPr>
                    <w:adjustRightInd w:val="0"/>
                    <w:snapToGrid w:val="0"/>
                    <w:jc w:val="center"/>
                    <w:rPr>
                      <w:rFonts w:ascii="Times New Roman" w:hAnsi="Times New Roman" w:eastAsia="宋体" w:cs="Times New Roman"/>
                      <w:b/>
                      <w:bCs/>
                    </w:rPr>
                  </w:pPr>
                  <w:r>
                    <w:rPr>
                      <w:rFonts w:ascii="Times New Roman" w:hAnsi="Times New Roman" w:eastAsia="宋体" w:cs="Times New Roman"/>
                      <w:b/>
                      <w:bCs/>
                    </w:rPr>
                    <w:t>噪声限值dB（A）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03" w:type="dxa"/>
                  <w:vMerge w:val="continue"/>
                  <w:vAlign w:val="center"/>
                </w:tcPr>
                <w:p>
                  <w:pPr>
                    <w:tabs>
                      <w:tab w:val="left" w:pos="720"/>
                      <w:tab w:val="left" w:pos="2520"/>
                      <w:tab w:val="left" w:pos="5180"/>
                    </w:tabs>
                    <w:topLinePunct/>
                    <w:adjustRightInd w:val="0"/>
                    <w:snapToGrid w:val="0"/>
                    <w:jc w:val="center"/>
                    <w:rPr>
                      <w:rFonts w:ascii="Times New Roman" w:hAnsi="Times New Roman" w:eastAsia="宋体" w:cs="Times New Roman"/>
                      <w:b/>
                      <w:bCs/>
                      <w:szCs w:val="21"/>
                    </w:rPr>
                  </w:pPr>
                </w:p>
              </w:tc>
              <w:tc>
                <w:tcPr>
                  <w:tcW w:w="3719" w:type="dxa"/>
                  <w:vMerge w:val="continue"/>
                  <w:vAlign w:val="center"/>
                </w:tcPr>
                <w:p>
                  <w:pPr>
                    <w:tabs>
                      <w:tab w:val="left" w:pos="720"/>
                      <w:tab w:val="left" w:pos="2520"/>
                      <w:tab w:val="left" w:pos="5180"/>
                    </w:tabs>
                    <w:topLinePunct/>
                    <w:adjustRightInd w:val="0"/>
                    <w:snapToGrid w:val="0"/>
                    <w:jc w:val="center"/>
                    <w:rPr>
                      <w:rFonts w:ascii="Times New Roman" w:hAnsi="Times New Roman" w:eastAsia="宋体" w:cs="Times New Roman"/>
                      <w:b/>
                      <w:bCs/>
                      <w:szCs w:val="21"/>
                    </w:rPr>
                  </w:pPr>
                </w:p>
              </w:tc>
              <w:tc>
                <w:tcPr>
                  <w:tcW w:w="1800" w:type="dxa"/>
                  <w:vAlign w:val="center"/>
                </w:tcPr>
                <w:p>
                  <w:pPr>
                    <w:tabs>
                      <w:tab w:val="left" w:pos="720"/>
                      <w:tab w:val="left" w:pos="2520"/>
                      <w:tab w:val="left" w:pos="5180"/>
                    </w:tabs>
                    <w:topLinePunct/>
                    <w:adjustRightInd w:val="0"/>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昼间</w:t>
                  </w:r>
                </w:p>
              </w:tc>
              <w:tc>
                <w:tcPr>
                  <w:tcW w:w="1452" w:type="dxa"/>
                  <w:vAlign w:val="center"/>
                </w:tcPr>
                <w:p>
                  <w:pPr>
                    <w:tabs>
                      <w:tab w:val="left" w:pos="720"/>
                      <w:tab w:val="left" w:pos="2520"/>
                      <w:tab w:val="left" w:pos="5180"/>
                    </w:tabs>
                    <w:topLinePunct/>
                    <w:adjustRightInd w:val="0"/>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03" w:type="dxa"/>
                  <w:vAlign w:val="center"/>
                </w:tcPr>
                <w:p>
                  <w:pPr>
                    <w:tabs>
                      <w:tab w:val="left" w:pos="720"/>
                      <w:tab w:val="left" w:pos="2520"/>
                      <w:tab w:val="left" w:pos="5180"/>
                    </w:tabs>
                    <w:topLinePunct/>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运营期</w:t>
                  </w:r>
                </w:p>
              </w:tc>
              <w:tc>
                <w:tcPr>
                  <w:tcW w:w="3719" w:type="dxa"/>
                  <w:vAlign w:val="center"/>
                </w:tcPr>
                <w:p>
                  <w:pPr>
                    <w:tabs>
                      <w:tab w:val="left" w:pos="720"/>
                      <w:tab w:val="left" w:pos="2520"/>
                      <w:tab w:val="left" w:pos="5180"/>
                    </w:tabs>
                    <w:topLinePunct/>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《工业企业厂界环境噪声排放标准》（GB12348-2008）</w:t>
                  </w:r>
                  <w:r>
                    <w:rPr>
                      <w:rFonts w:hint="eastAsia" w:ascii="Times New Roman" w:hAnsi="Times New Roman" w:eastAsia="宋体" w:cs="Times New Roman"/>
                      <w:szCs w:val="21"/>
                    </w:rPr>
                    <w:t>2</w:t>
                  </w:r>
                  <w:r>
                    <w:rPr>
                      <w:rFonts w:ascii="Times New Roman" w:hAnsi="Times New Roman" w:eastAsia="宋体" w:cs="Times New Roman"/>
                      <w:szCs w:val="21"/>
                    </w:rPr>
                    <w:t>类标准</w:t>
                  </w:r>
                </w:p>
              </w:tc>
              <w:tc>
                <w:tcPr>
                  <w:tcW w:w="1800" w:type="dxa"/>
                  <w:vAlign w:val="center"/>
                </w:tcPr>
                <w:p>
                  <w:pPr>
                    <w:tabs>
                      <w:tab w:val="left" w:pos="720"/>
                      <w:tab w:val="left" w:pos="2520"/>
                      <w:tab w:val="left" w:pos="5180"/>
                    </w:tabs>
                    <w:topLinePunct/>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60</w:t>
                  </w:r>
                </w:p>
              </w:tc>
              <w:tc>
                <w:tcPr>
                  <w:tcW w:w="1452" w:type="dxa"/>
                  <w:vAlign w:val="center"/>
                </w:tcPr>
                <w:p>
                  <w:pPr>
                    <w:tabs>
                      <w:tab w:val="left" w:pos="720"/>
                      <w:tab w:val="left" w:pos="2520"/>
                      <w:tab w:val="left" w:pos="5180"/>
                    </w:tabs>
                    <w:topLinePunct/>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50</w:t>
                  </w:r>
                </w:p>
              </w:tc>
            </w:tr>
          </w:tbl>
          <w:p>
            <w:pPr>
              <w:spacing w:line="360" w:lineRule="auto"/>
              <w:ind w:firstLine="482" w:firstLineChars="200"/>
              <w:rPr>
                <w:rFonts w:ascii="Times New Roman" w:hAnsi="Times New Roman" w:eastAsia="宋体" w:cs="Times New Roman"/>
                <w:b/>
                <w:bCs/>
                <w:sz w:val="24"/>
              </w:rPr>
            </w:pPr>
            <w:r>
              <w:rPr>
                <w:rFonts w:ascii="Times New Roman" w:hAnsi="Times New Roman" w:eastAsia="宋体" w:cs="Times New Roman"/>
                <w:b/>
                <w:bCs/>
                <w:sz w:val="24"/>
              </w:rPr>
              <w:t>4、固废</w:t>
            </w:r>
          </w:p>
          <w:p>
            <w:pPr>
              <w:spacing w:line="360" w:lineRule="auto"/>
              <w:ind w:firstLine="480" w:firstLineChars="200"/>
              <w:rPr>
                <w:rFonts w:ascii="Times New Roman" w:hAnsi="Times New Roman" w:eastAsia="宋体" w:cs="Times New Roman"/>
                <w:sz w:val="24"/>
              </w:rPr>
            </w:pPr>
            <w:r>
              <w:rPr>
                <w:rFonts w:hint="eastAsia"/>
                <w:sz w:val="24"/>
              </w:rPr>
              <w:t>项目产生的一般固体废物处置执行《一般工业固体废物贮存和填埋污染物控制标准》（GB18599-2020）；危险废物暂存及处置执行《危险废物贮存污染控制标准》（GB18597-2023）。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7" w:hRule="atLeast"/>
          <w:jc w:val="center"/>
        </w:trPr>
        <w:tc>
          <w:tcPr>
            <w:tcW w:w="269" w:type="pct"/>
          </w:tcPr>
          <w:p>
            <w:pPr>
              <w:spacing w:line="360" w:lineRule="auto"/>
              <w:rPr>
                <w:rFonts w:ascii="Times New Roman" w:hAnsi="Times New Roman" w:eastAsia="宋体" w:cs="Times New Roman"/>
                <w:kern w:val="0"/>
                <w:sz w:val="22"/>
                <w:szCs w:val="22"/>
                <w:lang w:bidi="ar"/>
              </w:rPr>
            </w:pPr>
            <w:r>
              <w:rPr>
                <w:rFonts w:ascii="Times New Roman" w:hAnsi="Times New Roman" w:eastAsia="宋体" w:cs="Times New Roman"/>
                <w:kern w:val="0"/>
                <w:sz w:val="24"/>
                <w:lang w:bidi="ar"/>
              </w:rPr>
              <w:t>总量控制指标</w:t>
            </w:r>
          </w:p>
        </w:tc>
        <w:tc>
          <w:tcPr>
            <w:tcW w:w="4730" w:type="pct"/>
          </w:tcPr>
          <w:p>
            <w:pPr>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根据“十四五”主要污染物总量控制规划，“十四五”期间国家将氨氮（NH</w:t>
            </w:r>
            <w:r>
              <w:rPr>
                <w:rFonts w:ascii="Times New Roman" w:hAnsi="Times New Roman" w:eastAsia="宋体" w:cs="Times New Roman"/>
                <w:sz w:val="24"/>
                <w:vertAlign w:val="subscript"/>
              </w:rPr>
              <w:t>3</w:t>
            </w:r>
            <w:r>
              <w:rPr>
                <w:rFonts w:ascii="Times New Roman" w:hAnsi="Times New Roman" w:eastAsia="宋体" w:cs="Times New Roman"/>
                <w:sz w:val="24"/>
              </w:rPr>
              <w:t>-N）和氮氧化物（NO</w:t>
            </w:r>
            <w:r>
              <w:rPr>
                <w:rFonts w:ascii="Times New Roman" w:hAnsi="Times New Roman" w:eastAsia="宋体" w:cs="Times New Roman"/>
                <w:sz w:val="24"/>
                <w:vertAlign w:val="subscript"/>
              </w:rPr>
              <w:t>X</w:t>
            </w:r>
            <w:r>
              <w:rPr>
                <w:rFonts w:ascii="Times New Roman" w:hAnsi="Times New Roman" w:eastAsia="宋体" w:cs="Times New Roman"/>
                <w:sz w:val="24"/>
              </w:rPr>
              <w:t>）和有机废气纳入总量控制指标体系，则“十四五”期间国家对化学需氧量、二氧化硫、氨氮和氮氧化物四种主要污染物实行排放总量控制计划管理。全面推进二氧化硫（SO</w:t>
            </w:r>
            <w:r>
              <w:rPr>
                <w:rFonts w:ascii="Times New Roman" w:hAnsi="Times New Roman" w:eastAsia="宋体" w:cs="Times New Roman"/>
                <w:sz w:val="24"/>
                <w:vertAlign w:val="subscript"/>
              </w:rPr>
              <w:t>2</w:t>
            </w:r>
            <w:r>
              <w:rPr>
                <w:rFonts w:ascii="Times New Roman" w:hAnsi="Times New Roman" w:eastAsia="宋体" w:cs="Times New Roman"/>
                <w:sz w:val="24"/>
              </w:rPr>
              <w:t>）、氮氧化物（NO</w:t>
            </w:r>
            <w:r>
              <w:rPr>
                <w:rFonts w:ascii="Times New Roman" w:hAnsi="Times New Roman" w:eastAsia="宋体" w:cs="Times New Roman"/>
                <w:sz w:val="24"/>
                <w:vertAlign w:val="subscript"/>
              </w:rPr>
              <w:t>X</w:t>
            </w:r>
            <w:r>
              <w:rPr>
                <w:rFonts w:ascii="Times New Roman" w:hAnsi="Times New Roman" w:eastAsia="宋体" w:cs="Times New Roman"/>
                <w:sz w:val="24"/>
              </w:rPr>
              <w:t>）、挥发性有机物（VOCs）等多种污染物的协同控制。</w:t>
            </w:r>
          </w:p>
          <w:p>
            <w:pPr>
              <w:adjustRightInd w:val="0"/>
              <w:snapToGrid w:val="0"/>
              <w:spacing w:line="360" w:lineRule="auto"/>
              <w:ind w:firstLine="480" w:firstLineChars="200"/>
              <w:rPr>
                <w:rFonts w:ascii="Times New Roman" w:hAnsi="Times New Roman" w:eastAsia="宋体" w:cs="Times New Roman"/>
                <w:b/>
                <w:bCs/>
                <w:sz w:val="24"/>
              </w:rPr>
            </w:pPr>
            <w:r>
              <w:rPr>
                <w:rFonts w:ascii="Times New Roman" w:hAnsi="Times New Roman" w:eastAsia="宋体" w:cs="Times New Roman"/>
                <w:sz w:val="24"/>
                <w:lang w:bidi="ar"/>
              </w:rPr>
              <w:t>根据本项目的排污特征，结合国家污染物排放总量控制原则，列出本项目建议执行的总量控制指标：</w:t>
            </w:r>
          </w:p>
          <w:p>
            <w:pPr>
              <w:pStyle w:val="41"/>
              <w:adjustRightInd w:val="0"/>
              <w:snapToGrid w:val="0"/>
              <w:ind w:firstLine="482" w:firstLineChars="200"/>
              <w:jc w:val="both"/>
              <w:rPr>
                <w:rFonts w:ascii="Times New Roman" w:hAnsi="Times New Roman" w:cs="Times New Roman"/>
                <w:b/>
                <w:bCs/>
                <w:sz w:val="24"/>
                <w:szCs w:val="24"/>
              </w:rPr>
            </w:pPr>
            <w:r>
              <w:rPr>
                <w:rFonts w:ascii="Times New Roman" w:hAnsi="Times New Roman" w:cs="Times New Roman"/>
                <w:b/>
                <w:bCs/>
                <w:sz w:val="24"/>
                <w:szCs w:val="24"/>
              </w:rPr>
              <w:t>1、废气</w:t>
            </w:r>
          </w:p>
          <w:p>
            <w:pPr>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本项目废气</w:t>
            </w:r>
            <w:r>
              <w:rPr>
                <w:rFonts w:hint="eastAsia" w:ascii="Times New Roman" w:hAnsi="Times New Roman" w:eastAsia="宋体" w:cs="Times New Roman"/>
                <w:sz w:val="24"/>
              </w:rPr>
              <w:t>主要为无组织颗粒物，</w:t>
            </w:r>
            <w:r>
              <w:rPr>
                <w:rFonts w:ascii="Times New Roman" w:hAnsi="Times New Roman" w:eastAsia="宋体" w:cs="Times New Roman"/>
                <w:sz w:val="24"/>
              </w:rPr>
              <w:t>故不设废</w:t>
            </w:r>
            <w:r>
              <w:rPr>
                <w:rFonts w:hint="eastAsia" w:ascii="Times New Roman" w:hAnsi="Times New Roman" w:eastAsia="宋体" w:cs="Times New Roman"/>
                <w:sz w:val="24"/>
              </w:rPr>
              <w:t>气</w:t>
            </w:r>
            <w:r>
              <w:rPr>
                <w:rFonts w:ascii="Times New Roman" w:hAnsi="Times New Roman" w:eastAsia="宋体" w:cs="Times New Roman"/>
                <w:sz w:val="24"/>
              </w:rPr>
              <w:t>排放总量控制指标。</w:t>
            </w:r>
          </w:p>
          <w:p>
            <w:pPr>
              <w:adjustRightInd w:val="0"/>
              <w:snapToGrid w:val="0"/>
              <w:spacing w:line="360" w:lineRule="auto"/>
              <w:ind w:firstLine="482" w:firstLineChars="200"/>
              <w:rPr>
                <w:rFonts w:ascii="Times New Roman" w:hAnsi="Times New Roman" w:eastAsia="宋体" w:cs="Times New Roman"/>
                <w:b/>
                <w:bCs/>
                <w:sz w:val="24"/>
              </w:rPr>
            </w:pPr>
            <w:r>
              <w:rPr>
                <w:rFonts w:ascii="Times New Roman" w:hAnsi="Times New Roman" w:eastAsia="宋体" w:cs="Times New Roman"/>
                <w:b/>
                <w:bCs/>
                <w:sz w:val="24"/>
              </w:rPr>
              <w:t>2、废水</w:t>
            </w:r>
          </w:p>
          <w:p>
            <w:pPr>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项目</w:t>
            </w:r>
            <w:r>
              <w:rPr>
                <w:rFonts w:hint="eastAsia" w:ascii="Times New Roman" w:hAnsi="Times New Roman" w:eastAsia="宋体" w:cs="Times New Roman"/>
                <w:sz w:val="24"/>
              </w:rPr>
              <w:t>洗沙</w:t>
            </w:r>
            <w:r>
              <w:rPr>
                <w:rFonts w:ascii="Times New Roman" w:hAnsi="Times New Roman" w:eastAsia="宋体" w:cs="Times New Roman"/>
                <w:sz w:val="24"/>
              </w:rPr>
              <w:t>用水循环使用，不外排；办公生活污水</w:t>
            </w:r>
            <w:r>
              <w:rPr>
                <w:rFonts w:hint="eastAsia" w:ascii="Times New Roman" w:hAnsi="Times New Roman" w:eastAsia="宋体" w:cs="Times New Roman"/>
                <w:sz w:val="24"/>
              </w:rPr>
              <w:t>经</w:t>
            </w:r>
            <w:r>
              <w:rPr>
                <w:rFonts w:ascii="Times New Roman" w:hAnsi="Times New Roman" w:eastAsia="宋体" w:cs="Times New Roman"/>
                <w:sz w:val="24"/>
              </w:rPr>
              <w:t>化粪池处理后，</w:t>
            </w:r>
            <w:r>
              <w:rPr>
                <w:rFonts w:hint="eastAsia" w:ascii="Times New Roman" w:hAnsi="Times New Roman" w:eastAsia="宋体" w:cs="Times New Roman"/>
                <w:sz w:val="24"/>
              </w:rPr>
              <w:t>委托当地居民清掏用作农肥使用。</w:t>
            </w:r>
            <w:r>
              <w:rPr>
                <w:rFonts w:ascii="Times New Roman" w:hAnsi="Times New Roman" w:eastAsia="宋体" w:cs="Times New Roman"/>
                <w:sz w:val="24"/>
              </w:rPr>
              <w:t>故不设废水排放总量控制指标。</w:t>
            </w:r>
          </w:p>
          <w:p>
            <w:pPr>
              <w:adjustRightInd w:val="0"/>
              <w:snapToGrid w:val="0"/>
              <w:spacing w:line="360" w:lineRule="auto"/>
              <w:ind w:firstLine="482" w:firstLineChars="200"/>
              <w:rPr>
                <w:rFonts w:ascii="Times New Roman" w:hAnsi="Times New Roman" w:eastAsia="宋体" w:cs="Times New Roman"/>
                <w:b/>
                <w:sz w:val="24"/>
              </w:rPr>
            </w:pPr>
            <w:r>
              <w:rPr>
                <w:rFonts w:ascii="Times New Roman" w:hAnsi="Times New Roman" w:eastAsia="宋体" w:cs="Times New Roman"/>
                <w:b/>
                <w:sz w:val="24"/>
              </w:rPr>
              <w:t>3、固体废物</w:t>
            </w:r>
          </w:p>
          <w:p>
            <w:pPr>
              <w:pStyle w:val="41"/>
              <w:adjustRightInd w:val="0"/>
              <w:snapToGrid w:val="0"/>
              <w:ind w:firstLine="480" w:firstLineChars="200"/>
              <w:jc w:val="both"/>
              <w:rPr>
                <w:rFonts w:ascii="Times New Roman" w:hAnsi="Times New Roman" w:cs="Times New Roman"/>
              </w:rPr>
            </w:pPr>
            <w:r>
              <w:rPr>
                <w:rFonts w:ascii="Times New Roman" w:hAnsi="Times New Roman" w:cs="Times New Roman"/>
                <w:kern w:val="0"/>
                <w:sz w:val="24"/>
                <w:szCs w:val="24"/>
              </w:rPr>
              <w:t>固体废物全部得到合理处置，处置率为100%。</w:t>
            </w:r>
            <w:r>
              <w:rPr>
                <w:rFonts w:ascii="Times New Roman" w:hAnsi="Times New Roman" w:cs="Times New Roman"/>
                <w:sz w:val="24"/>
                <w:szCs w:val="24"/>
              </w:rPr>
              <w:t>故不设总量控制指标。</w:t>
            </w:r>
          </w:p>
        </w:tc>
      </w:tr>
    </w:tbl>
    <w:p>
      <w:pPr>
        <w:spacing w:line="360" w:lineRule="auto"/>
        <w:rPr>
          <w:rFonts w:ascii="Times New Roman" w:hAnsi="Times New Roman" w:eastAsia="宋体" w:cs="Times New Roman"/>
          <w:kern w:val="0"/>
          <w:sz w:val="30"/>
          <w:szCs w:val="30"/>
          <w:lang w:bidi="ar"/>
        </w:rPr>
        <w:sectPr>
          <w:pgSz w:w="11906" w:h="16838"/>
          <w:pgMar w:top="1440" w:right="1800" w:bottom="1440" w:left="1800" w:header="851" w:footer="992" w:gutter="0"/>
          <w:cols w:space="425" w:num="1"/>
          <w:docGrid w:type="lines" w:linePitch="312" w:charSpace="0"/>
        </w:sectPr>
      </w:pPr>
    </w:p>
    <w:p>
      <w:pPr>
        <w:pStyle w:val="2"/>
        <w:adjustRightInd w:val="0"/>
        <w:snapToGrid w:val="0"/>
        <w:spacing w:before="0" w:after="0" w:line="240" w:lineRule="auto"/>
        <w:jc w:val="center"/>
        <w:rPr>
          <w:rFonts w:ascii="Times New Roman" w:hAnsi="Times New Roman" w:eastAsia="宋体" w:cs="Times New Roman"/>
        </w:rPr>
      </w:pPr>
      <w:bookmarkStart w:id="293" w:name="_Toc16068"/>
      <w:r>
        <w:rPr>
          <w:rFonts w:ascii="Times New Roman" w:hAnsi="Times New Roman" w:eastAsia="宋体" w:cs="Times New Roman"/>
        </w:rPr>
        <w:t>四、主要环境影响和保护措施</w:t>
      </w:r>
      <w:bookmarkEnd w:id="293"/>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7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6" w:hRule="atLeast"/>
        </w:trPr>
        <w:tc>
          <w:tcPr>
            <w:tcW w:w="776" w:type="dxa"/>
            <w:vAlign w:val="center"/>
          </w:tcPr>
          <w:p>
            <w:pPr>
              <w:adjustRightInd w:val="0"/>
              <w:snapToGrid w:val="0"/>
              <w:jc w:val="center"/>
              <w:rPr>
                <w:rFonts w:ascii="Times New Roman" w:hAnsi="Times New Roman" w:eastAsia="宋体" w:cs="Times New Roman"/>
                <w:kern w:val="0"/>
                <w:sz w:val="24"/>
                <w:lang w:bidi="ar"/>
              </w:rPr>
            </w:pPr>
            <w:r>
              <w:rPr>
                <w:rFonts w:ascii="Times New Roman" w:hAnsi="Times New Roman" w:eastAsia="宋体" w:cs="Times New Roman"/>
                <w:kern w:val="0"/>
                <w:sz w:val="24"/>
                <w:lang w:bidi="ar"/>
              </w:rPr>
              <w:t>施</w:t>
            </w:r>
          </w:p>
          <w:p>
            <w:pPr>
              <w:adjustRightInd w:val="0"/>
              <w:snapToGrid w:val="0"/>
              <w:jc w:val="center"/>
              <w:rPr>
                <w:rFonts w:ascii="Times New Roman" w:hAnsi="Times New Roman" w:eastAsia="宋体" w:cs="Times New Roman"/>
                <w:kern w:val="0"/>
                <w:sz w:val="24"/>
                <w:lang w:bidi="ar"/>
              </w:rPr>
            </w:pPr>
            <w:r>
              <w:rPr>
                <w:rFonts w:ascii="Times New Roman" w:hAnsi="Times New Roman" w:eastAsia="宋体" w:cs="Times New Roman"/>
                <w:kern w:val="0"/>
                <w:sz w:val="24"/>
                <w:lang w:bidi="ar"/>
              </w:rPr>
              <w:t>工</w:t>
            </w:r>
          </w:p>
          <w:p>
            <w:pPr>
              <w:adjustRightInd w:val="0"/>
              <w:snapToGrid w:val="0"/>
              <w:jc w:val="center"/>
              <w:rPr>
                <w:rFonts w:ascii="Times New Roman" w:hAnsi="Times New Roman" w:eastAsia="宋体" w:cs="Times New Roman"/>
                <w:kern w:val="0"/>
                <w:sz w:val="24"/>
                <w:lang w:bidi="ar"/>
              </w:rPr>
            </w:pPr>
            <w:r>
              <w:rPr>
                <w:rFonts w:ascii="Times New Roman" w:hAnsi="Times New Roman" w:eastAsia="宋体" w:cs="Times New Roman"/>
                <w:kern w:val="0"/>
                <w:sz w:val="24"/>
                <w:lang w:bidi="ar"/>
              </w:rPr>
              <w:t>期</w:t>
            </w:r>
          </w:p>
          <w:p>
            <w:pPr>
              <w:adjustRightInd w:val="0"/>
              <w:snapToGrid w:val="0"/>
              <w:jc w:val="center"/>
              <w:rPr>
                <w:rFonts w:ascii="Times New Roman" w:hAnsi="Times New Roman" w:eastAsia="宋体" w:cs="Times New Roman"/>
                <w:kern w:val="0"/>
                <w:sz w:val="24"/>
                <w:lang w:bidi="ar"/>
              </w:rPr>
            </w:pPr>
            <w:r>
              <w:rPr>
                <w:rFonts w:ascii="Times New Roman" w:hAnsi="Times New Roman" w:eastAsia="宋体" w:cs="Times New Roman"/>
                <w:kern w:val="0"/>
                <w:sz w:val="24"/>
                <w:lang w:bidi="ar"/>
              </w:rPr>
              <w:t>环</w:t>
            </w:r>
          </w:p>
          <w:p>
            <w:pPr>
              <w:adjustRightInd w:val="0"/>
              <w:snapToGrid w:val="0"/>
              <w:jc w:val="center"/>
              <w:rPr>
                <w:rFonts w:ascii="Times New Roman" w:hAnsi="Times New Roman" w:eastAsia="宋体" w:cs="Times New Roman"/>
                <w:kern w:val="0"/>
                <w:sz w:val="24"/>
                <w:lang w:bidi="ar"/>
              </w:rPr>
            </w:pPr>
            <w:r>
              <w:rPr>
                <w:rFonts w:ascii="Times New Roman" w:hAnsi="Times New Roman" w:eastAsia="宋体" w:cs="Times New Roman"/>
                <w:kern w:val="0"/>
                <w:sz w:val="24"/>
                <w:lang w:bidi="ar"/>
              </w:rPr>
              <w:t>境</w:t>
            </w:r>
          </w:p>
          <w:p>
            <w:pPr>
              <w:adjustRightInd w:val="0"/>
              <w:snapToGrid w:val="0"/>
              <w:jc w:val="center"/>
              <w:rPr>
                <w:rFonts w:ascii="Times New Roman" w:hAnsi="Times New Roman" w:eastAsia="宋体" w:cs="Times New Roman"/>
                <w:kern w:val="0"/>
                <w:sz w:val="24"/>
                <w:lang w:bidi="ar"/>
              </w:rPr>
            </w:pPr>
            <w:r>
              <w:rPr>
                <w:rFonts w:ascii="Times New Roman" w:hAnsi="Times New Roman" w:eastAsia="宋体" w:cs="Times New Roman"/>
                <w:kern w:val="0"/>
                <w:sz w:val="24"/>
                <w:lang w:bidi="ar"/>
              </w:rPr>
              <w:t>保</w:t>
            </w:r>
          </w:p>
          <w:p>
            <w:pPr>
              <w:adjustRightInd w:val="0"/>
              <w:snapToGrid w:val="0"/>
              <w:jc w:val="center"/>
              <w:rPr>
                <w:rFonts w:ascii="Times New Roman" w:hAnsi="Times New Roman" w:eastAsia="宋体" w:cs="Times New Roman"/>
                <w:kern w:val="0"/>
                <w:sz w:val="24"/>
                <w:lang w:bidi="ar"/>
              </w:rPr>
            </w:pPr>
            <w:r>
              <w:rPr>
                <w:rFonts w:ascii="Times New Roman" w:hAnsi="Times New Roman" w:eastAsia="宋体" w:cs="Times New Roman"/>
                <w:kern w:val="0"/>
                <w:sz w:val="24"/>
                <w:lang w:bidi="ar"/>
              </w:rPr>
              <w:t>护</w:t>
            </w:r>
          </w:p>
          <w:p>
            <w:pPr>
              <w:adjustRightInd w:val="0"/>
              <w:snapToGrid w:val="0"/>
              <w:jc w:val="center"/>
              <w:rPr>
                <w:rFonts w:ascii="Times New Roman" w:hAnsi="Times New Roman" w:eastAsia="宋体" w:cs="Times New Roman"/>
                <w:kern w:val="0"/>
                <w:sz w:val="24"/>
                <w:lang w:bidi="ar"/>
              </w:rPr>
            </w:pPr>
            <w:r>
              <w:rPr>
                <w:rFonts w:ascii="Times New Roman" w:hAnsi="Times New Roman" w:eastAsia="宋体" w:cs="Times New Roman"/>
                <w:kern w:val="0"/>
                <w:sz w:val="24"/>
                <w:lang w:bidi="ar"/>
              </w:rPr>
              <w:t>措</w:t>
            </w:r>
          </w:p>
          <w:p>
            <w:pPr>
              <w:adjustRightInd w:val="0"/>
              <w:snapToGrid w:val="0"/>
              <w:jc w:val="center"/>
              <w:rPr>
                <w:rFonts w:ascii="Times New Roman" w:hAnsi="Times New Roman" w:eastAsia="宋体" w:cs="Times New Roman"/>
                <w:kern w:val="0"/>
                <w:sz w:val="22"/>
                <w:szCs w:val="22"/>
                <w:lang w:bidi="ar"/>
              </w:rPr>
            </w:pPr>
            <w:r>
              <w:rPr>
                <w:rFonts w:ascii="Times New Roman" w:hAnsi="Times New Roman" w:eastAsia="宋体" w:cs="Times New Roman"/>
                <w:kern w:val="0"/>
                <w:sz w:val="24"/>
                <w:lang w:bidi="ar"/>
              </w:rPr>
              <w:t>施</w:t>
            </w:r>
          </w:p>
        </w:tc>
        <w:tc>
          <w:tcPr>
            <w:tcW w:w="7746" w:type="dxa"/>
          </w:tcPr>
          <w:p>
            <w:pPr>
              <w:pStyle w:val="4"/>
              <w:adjustRightInd w:val="0"/>
              <w:snapToGrid w:val="0"/>
              <w:spacing w:before="0" w:after="0" w:line="360" w:lineRule="auto"/>
              <w:outlineLvl w:val="2"/>
              <w:rPr>
                <w:rFonts w:ascii="Times New Roman" w:hAnsi="Times New Roman" w:eastAsia="宋体"/>
                <w:sz w:val="24"/>
                <w:szCs w:val="24"/>
              </w:rPr>
            </w:pPr>
            <w:r>
              <w:rPr>
                <w:rFonts w:ascii="Times New Roman" w:hAnsi="Times New Roman" w:eastAsia="宋体"/>
                <w:sz w:val="24"/>
                <w:szCs w:val="24"/>
              </w:rPr>
              <w:t>一、施工期大气污染防治措施</w:t>
            </w:r>
          </w:p>
          <w:p>
            <w:pPr>
              <w:adjustRightInd w:val="0"/>
              <w:snapToGrid w:val="0"/>
              <w:spacing w:line="360" w:lineRule="auto"/>
              <w:ind w:firstLine="482" w:firstLineChars="200"/>
              <w:rPr>
                <w:rFonts w:ascii="Times New Roman" w:hAnsi="Times New Roman" w:eastAsia="宋体" w:cs="Times New Roman"/>
                <w:b/>
                <w:sz w:val="24"/>
              </w:rPr>
            </w:pPr>
            <w:r>
              <w:rPr>
                <w:rFonts w:ascii="Times New Roman" w:hAnsi="Times New Roman" w:eastAsia="宋体" w:cs="Times New Roman"/>
                <w:b/>
                <w:sz w:val="24"/>
              </w:rPr>
              <w:t>1、源强分析</w:t>
            </w:r>
          </w:p>
          <w:p>
            <w:pPr>
              <w:adjustRightInd w:val="0"/>
              <w:snapToGrid w:val="0"/>
              <w:spacing w:line="360" w:lineRule="auto"/>
              <w:ind w:firstLine="482" w:firstLineChars="200"/>
              <w:rPr>
                <w:rFonts w:ascii="Times New Roman" w:hAnsi="Times New Roman" w:eastAsia="宋体" w:cs="Times New Roman"/>
                <w:b/>
                <w:bCs/>
                <w:sz w:val="24"/>
              </w:rPr>
            </w:pPr>
            <w:r>
              <w:rPr>
                <w:rFonts w:ascii="Times New Roman" w:hAnsi="Times New Roman" w:eastAsia="宋体" w:cs="Times New Roman"/>
                <w:b/>
                <w:bCs/>
                <w:sz w:val="24"/>
              </w:rPr>
              <w:t>（1）施工扬尘</w:t>
            </w:r>
          </w:p>
          <w:p>
            <w:pPr>
              <w:adjustRightInd w:val="0"/>
              <w:snapToGrid w:val="0"/>
              <w:spacing w:line="360" w:lineRule="auto"/>
              <w:ind w:firstLine="480" w:firstLineChars="200"/>
              <w:rPr>
                <w:rFonts w:ascii="Times New Roman" w:hAnsi="Times New Roman" w:eastAsia="宋体" w:cs="Times New Roman"/>
                <w:bCs/>
                <w:kern w:val="0"/>
                <w:sz w:val="24"/>
              </w:rPr>
            </w:pPr>
            <w:r>
              <w:rPr>
                <w:rFonts w:ascii="Times New Roman" w:hAnsi="Times New Roman" w:eastAsia="宋体" w:cs="Times New Roman"/>
                <w:sz w:val="24"/>
              </w:rPr>
              <w:t>场地扬尘主要来源于建筑材料堆放，属无组织排放，其产生强度与施工范围、施工方法、土壤湿度、气象条件等诸多因素有关。施工扬尘产生的不同粒径沉降速度不一样，</w:t>
            </w:r>
            <w:r>
              <w:rPr>
                <w:rFonts w:ascii="Times New Roman" w:hAnsi="Times New Roman" w:eastAsia="宋体" w:cs="Times New Roman"/>
                <w:bCs/>
                <w:kern w:val="0"/>
                <w:sz w:val="24"/>
              </w:rPr>
              <w:t>不同尘粒的沉降速度见表4-1。</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表4-1 不同粒径尘粒的沉降速度</w:t>
            </w:r>
          </w:p>
          <w:tbl>
            <w:tblPr>
              <w:tblStyle w:val="29"/>
              <w:tblW w:w="74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1"/>
              <w:gridCol w:w="783"/>
              <w:gridCol w:w="783"/>
              <w:gridCol w:w="783"/>
              <w:gridCol w:w="783"/>
              <w:gridCol w:w="783"/>
              <w:gridCol w:w="783"/>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21" w:type="dxa"/>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粒径（微米）</w:t>
                  </w:r>
                </w:p>
              </w:tc>
              <w:tc>
                <w:tcPr>
                  <w:tcW w:w="783" w:type="dxa"/>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10</w:t>
                  </w:r>
                </w:p>
              </w:tc>
              <w:tc>
                <w:tcPr>
                  <w:tcW w:w="783" w:type="dxa"/>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20</w:t>
                  </w:r>
                </w:p>
              </w:tc>
              <w:tc>
                <w:tcPr>
                  <w:tcW w:w="783" w:type="dxa"/>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30</w:t>
                  </w:r>
                </w:p>
              </w:tc>
              <w:tc>
                <w:tcPr>
                  <w:tcW w:w="783" w:type="dxa"/>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40</w:t>
                  </w:r>
                </w:p>
              </w:tc>
              <w:tc>
                <w:tcPr>
                  <w:tcW w:w="783" w:type="dxa"/>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50</w:t>
                  </w:r>
                </w:p>
              </w:tc>
              <w:tc>
                <w:tcPr>
                  <w:tcW w:w="783" w:type="dxa"/>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60</w:t>
                  </w:r>
                </w:p>
              </w:tc>
              <w:tc>
                <w:tcPr>
                  <w:tcW w:w="780" w:type="dxa"/>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21" w:type="dxa"/>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szCs w:val="21"/>
                    </w:rPr>
                    <w:t>沉降速度（m/s）</w:t>
                  </w:r>
                </w:p>
              </w:tc>
              <w:tc>
                <w:tcPr>
                  <w:tcW w:w="783" w:type="dxa"/>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szCs w:val="21"/>
                    </w:rPr>
                    <w:t>0.03</w:t>
                  </w:r>
                </w:p>
              </w:tc>
              <w:tc>
                <w:tcPr>
                  <w:tcW w:w="783" w:type="dxa"/>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szCs w:val="21"/>
                    </w:rPr>
                    <w:t>0.012</w:t>
                  </w:r>
                </w:p>
              </w:tc>
              <w:tc>
                <w:tcPr>
                  <w:tcW w:w="783" w:type="dxa"/>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szCs w:val="21"/>
                    </w:rPr>
                    <w:t>0.027</w:t>
                  </w:r>
                </w:p>
              </w:tc>
              <w:tc>
                <w:tcPr>
                  <w:tcW w:w="783" w:type="dxa"/>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szCs w:val="21"/>
                    </w:rPr>
                    <w:t>0.048</w:t>
                  </w:r>
                </w:p>
              </w:tc>
              <w:tc>
                <w:tcPr>
                  <w:tcW w:w="783" w:type="dxa"/>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szCs w:val="21"/>
                    </w:rPr>
                    <w:t>0.075</w:t>
                  </w:r>
                </w:p>
              </w:tc>
              <w:tc>
                <w:tcPr>
                  <w:tcW w:w="783" w:type="dxa"/>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szCs w:val="21"/>
                    </w:rPr>
                    <w:t>0.108</w:t>
                  </w:r>
                </w:p>
              </w:tc>
              <w:tc>
                <w:tcPr>
                  <w:tcW w:w="780" w:type="dxa"/>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szCs w:val="21"/>
                    </w:rPr>
                    <w:t>0.147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21" w:type="dxa"/>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szCs w:val="21"/>
                    </w:rPr>
                    <w:t>粒径（微米）</w:t>
                  </w:r>
                </w:p>
              </w:tc>
              <w:tc>
                <w:tcPr>
                  <w:tcW w:w="783" w:type="dxa"/>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szCs w:val="21"/>
                    </w:rPr>
                    <w:t>80</w:t>
                  </w:r>
                </w:p>
              </w:tc>
              <w:tc>
                <w:tcPr>
                  <w:tcW w:w="783" w:type="dxa"/>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szCs w:val="21"/>
                    </w:rPr>
                    <w:t>90</w:t>
                  </w:r>
                </w:p>
              </w:tc>
              <w:tc>
                <w:tcPr>
                  <w:tcW w:w="783" w:type="dxa"/>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szCs w:val="21"/>
                    </w:rPr>
                    <w:t>100</w:t>
                  </w:r>
                </w:p>
              </w:tc>
              <w:tc>
                <w:tcPr>
                  <w:tcW w:w="783" w:type="dxa"/>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szCs w:val="21"/>
                    </w:rPr>
                    <w:t>150</w:t>
                  </w:r>
                </w:p>
              </w:tc>
              <w:tc>
                <w:tcPr>
                  <w:tcW w:w="783" w:type="dxa"/>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szCs w:val="21"/>
                    </w:rPr>
                    <w:t>200</w:t>
                  </w:r>
                </w:p>
              </w:tc>
              <w:tc>
                <w:tcPr>
                  <w:tcW w:w="783" w:type="dxa"/>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szCs w:val="21"/>
                    </w:rPr>
                    <w:t>250</w:t>
                  </w:r>
                </w:p>
              </w:tc>
              <w:tc>
                <w:tcPr>
                  <w:tcW w:w="780" w:type="dxa"/>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szCs w:val="21"/>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21" w:type="dxa"/>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szCs w:val="21"/>
                    </w:rPr>
                    <w:t>沉降速度（m/s）</w:t>
                  </w:r>
                </w:p>
              </w:tc>
              <w:tc>
                <w:tcPr>
                  <w:tcW w:w="783" w:type="dxa"/>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szCs w:val="21"/>
                    </w:rPr>
                    <w:t>0.158</w:t>
                  </w:r>
                </w:p>
              </w:tc>
              <w:tc>
                <w:tcPr>
                  <w:tcW w:w="783" w:type="dxa"/>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szCs w:val="21"/>
                    </w:rPr>
                    <w:t>0.70</w:t>
                  </w:r>
                </w:p>
              </w:tc>
              <w:tc>
                <w:tcPr>
                  <w:tcW w:w="783" w:type="dxa"/>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szCs w:val="21"/>
                    </w:rPr>
                    <w:t>0.184</w:t>
                  </w:r>
                </w:p>
              </w:tc>
              <w:tc>
                <w:tcPr>
                  <w:tcW w:w="783" w:type="dxa"/>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szCs w:val="21"/>
                    </w:rPr>
                    <w:t>0.239</w:t>
                  </w:r>
                </w:p>
              </w:tc>
              <w:tc>
                <w:tcPr>
                  <w:tcW w:w="783" w:type="dxa"/>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szCs w:val="21"/>
                    </w:rPr>
                    <w:t>0.864</w:t>
                  </w:r>
                </w:p>
              </w:tc>
              <w:tc>
                <w:tcPr>
                  <w:tcW w:w="783" w:type="dxa"/>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szCs w:val="21"/>
                    </w:rPr>
                    <w:t>1.005</w:t>
                  </w:r>
                </w:p>
              </w:tc>
              <w:tc>
                <w:tcPr>
                  <w:tcW w:w="780" w:type="dxa"/>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szCs w:val="21"/>
                    </w:rPr>
                    <w:t>0.829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21" w:type="dxa"/>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szCs w:val="21"/>
                    </w:rPr>
                    <w:t>粒径（微米）</w:t>
                  </w:r>
                </w:p>
              </w:tc>
              <w:tc>
                <w:tcPr>
                  <w:tcW w:w="783" w:type="dxa"/>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szCs w:val="21"/>
                    </w:rPr>
                    <w:t>450</w:t>
                  </w:r>
                </w:p>
              </w:tc>
              <w:tc>
                <w:tcPr>
                  <w:tcW w:w="783" w:type="dxa"/>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szCs w:val="21"/>
                    </w:rPr>
                    <w:t>550</w:t>
                  </w:r>
                </w:p>
              </w:tc>
              <w:tc>
                <w:tcPr>
                  <w:tcW w:w="783" w:type="dxa"/>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szCs w:val="21"/>
                    </w:rPr>
                    <w:t>650</w:t>
                  </w:r>
                </w:p>
              </w:tc>
              <w:tc>
                <w:tcPr>
                  <w:tcW w:w="783" w:type="dxa"/>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szCs w:val="21"/>
                    </w:rPr>
                    <w:t>700</w:t>
                  </w:r>
                </w:p>
              </w:tc>
              <w:tc>
                <w:tcPr>
                  <w:tcW w:w="783" w:type="dxa"/>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szCs w:val="21"/>
                    </w:rPr>
                    <w:t>850</w:t>
                  </w:r>
                </w:p>
              </w:tc>
              <w:tc>
                <w:tcPr>
                  <w:tcW w:w="783" w:type="dxa"/>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szCs w:val="21"/>
                    </w:rPr>
                    <w:t>950</w:t>
                  </w:r>
                </w:p>
              </w:tc>
              <w:tc>
                <w:tcPr>
                  <w:tcW w:w="780" w:type="dxa"/>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szCs w:val="21"/>
                    </w:rPr>
                    <w:t>1050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21" w:type="dxa"/>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szCs w:val="21"/>
                    </w:rPr>
                    <w:t>沉降速度（m/s）</w:t>
                  </w:r>
                </w:p>
              </w:tc>
              <w:tc>
                <w:tcPr>
                  <w:tcW w:w="783" w:type="dxa"/>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szCs w:val="21"/>
                    </w:rPr>
                    <w:t>2.211</w:t>
                  </w:r>
                </w:p>
              </w:tc>
              <w:tc>
                <w:tcPr>
                  <w:tcW w:w="783" w:type="dxa"/>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szCs w:val="21"/>
                    </w:rPr>
                    <w:t>2.614</w:t>
                  </w:r>
                </w:p>
              </w:tc>
              <w:tc>
                <w:tcPr>
                  <w:tcW w:w="783" w:type="dxa"/>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szCs w:val="21"/>
                    </w:rPr>
                    <w:t>3.016</w:t>
                  </w:r>
                </w:p>
              </w:tc>
              <w:tc>
                <w:tcPr>
                  <w:tcW w:w="783" w:type="dxa"/>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szCs w:val="21"/>
                    </w:rPr>
                    <w:t>3.418</w:t>
                  </w:r>
                </w:p>
              </w:tc>
              <w:tc>
                <w:tcPr>
                  <w:tcW w:w="783" w:type="dxa"/>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szCs w:val="21"/>
                    </w:rPr>
                    <w:t>3.820</w:t>
                  </w:r>
                </w:p>
              </w:tc>
              <w:tc>
                <w:tcPr>
                  <w:tcW w:w="783" w:type="dxa"/>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szCs w:val="21"/>
                    </w:rPr>
                    <w:t>4.222</w:t>
                  </w:r>
                </w:p>
              </w:tc>
              <w:tc>
                <w:tcPr>
                  <w:tcW w:w="780" w:type="dxa"/>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szCs w:val="21"/>
                    </w:rPr>
                    <w:t>4.624</w:t>
                  </w:r>
                </w:p>
              </w:tc>
            </w:tr>
          </w:tbl>
          <w:p>
            <w:pPr>
              <w:widowControl/>
              <w:adjustRightInd w:val="0"/>
              <w:snapToGrid w:val="0"/>
              <w:spacing w:line="360" w:lineRule="auto"/>
              <w:ind w:firstLine="480" w:firstLineChars="200"/>
              <w:rPr>
                <w:rFonts w:ascii="Times New Roman" w:hAnsi="Times New Roman" w:eastAsia="宋体" w:cs="Times New Roman"/>
                <w:bCs/>
                <w:kern w:val="0"/>
                <w:sz w:val="24"/>
              </w:rPr>
            </w:pPr>
            <w:r>
              <w:rPr>
                <w:rFonts w:ascii="Times New Roman" w:hAnsi="Times New Roman" w:eastAsia="宋体" w:cs="Times New Roman"/>
                <w:bCs/>
                <w:kern w:val="0"/>
                <w:sz w:val="24"/>
              </w:rPr>
              <w:t>从表4-1可以看出，尘粒的沉降速度随粒径的增大而迅速增大。当粒径为250μm时，沉降速度为1.005m/s，因此可以认为当尘粒大于250μm时，主要影响范围在扬尘点下风向近距离范围内，而真正对外环境产生影响的是一些微小尘粒。</w:t>
            </w:r>
          </w:p>
          <w:p>
            <w:pPr>
              <w:adjustRightInd w:val="0"/>
              <w:snapToGrid w:val="0"/>
              <w:spacing w:line="360" w:lineRule="auto"/>
              <w:ind w:firstLine="520" w:firstLineChars="200"/>
              <w:rPr>
                <w:rFonts w:ascii="Times New Roman" w:hAnsi="Times New Roman" w:eastAsia="宋体" w:cs="Times New Roman"/>
                <w:bCs/>
                <w:spacing w:val="10"/>
                <w:sz w:val="24"/>
              </w:rPr>
            </w:pPr>
            <w:r>
              <w:rPr>
                <w:rFonts w:ascii="Times New Roman" w:hAnsi="Times New Roman" w:eastAsia="宋体" w:cs="Times New Roman"/>
                <w:bCs/>
                <w:spacing w:val="10"/>
                <w:sz w:val="24"/>
              </w:rPr>
              <w:t>针对</w:t>
            </w:r>
            <w:r>
              <w:rPr>
                <w:rFonts w:ascii="Times New Roman" w:hAnsi="Times New Roman" w:eastAsia="宋体" w:cs="Times New Roman"/>
                <w:sz w:val="24"/>
              </w:rPr>
              <w:t>厂房的施工</w:t>
            </w:r>
            <w:r>
              <w:rPr>
                <w:rFonts w:ascii="Times New Roman" w:hAnsi="Times New Roman" w:eastAsia="宋体" w:cs="Times New Roman"/>
                <w:spacing w:val="10"/>
                <w:sz w:val="24"/>
              </w:rPr>
              <w:t>，</w:t>
            </w:r>
            <w:r>
              <w:rPr>
                <w:rFonts w:ascii="Times New Roman" w:hAnsi="Times New Roman" w:eastAsia="宋体" w:cs="Times New Roman"/>
                <w:bCs/>
                <w:spacing w:val="10"/>
                <w:sz w:val="24"/>
              </w:rPr>
              <w:t>要做到“六必须、六不准”。六必须：必须围挡作业、必须硬化道路、必须设冲洗设施、必须配备保洁人员、必须定时清扫现场；六不准：不准车辆带泥出门、不准运渣车辆超载、不准高空抛洒建渣、不准现场搅拌混凝土、不准场地积水、不准现场堆放未覆盖裸土、不准现场焚烧废弃物。</w:t>
            </w:r>
          </w:p>
          <w:p>
            <w:pPr>
              <w:adjustRightInd w:val="0"/>
              <w:snapToGrid w:val="0"/>
              <w:spacing w:line="360" w:lineRule="auto"/>
              <w:ind w:firstLine="520" w:firstLineChars="200"/>
              <w:rPr>
                <w:rFonts w:ascii="Times New Roman" w:hAnsi="Times New Roman" w:eastAsia="宋体" w:cs="Times New Roman"/>
                <w:sz w:val="24"/>
              </w:rPr>
            </w:pPr>
            <w:r>
              <w:rPr>
                <w:rFonts w:ascii="Times New Roman" w:hAnsi="Times New Roman" w:eastAsia="宋体" w:cs="Times New Roman"/>
                <w:bCs/>
                <w:spacing w:val="10"/>
                <w:sz w:val="24"/>
              </w:rPr>
              <w:t>通过采取措施后对周边环境敏感目标影响较小。</w:t>
            </w:r>
          </w:p>
          <w:p>
            <w:pPr>
              <w:adjustRightInd w:val="0"/>
              <w:snapToGrid w:val="0"/>
              <w:spacing w:line="360" w:lineRule="auto"/>
              <w:ind w:firstLine="482" w:firstLineChars="200"/>
              <w:textAlignment w:val="baseline"/>
              <w:rPr>
                <w:rFonts w:ascii="Times New Roman" w:hAnsi="Times New Roman" w:eastAsia="宋体" w:cs="Times New Roman"/>
                <w:b/>
                <w:bCs/>
                <w:sz w:val="24"/>
              </w:rPr>
            </w:pPr>
            <w:r>
              <w:rPr>
                <w:rFonts w:ascii="Times New Roman" w:hAnsi="Times New Roman" w:eastAsia="宋体" w:cs="Times New Roman"/>
                <w:b/>
                <w:bCs/>
                <w:sz w:val="24"/>
              </w:rPr>
              <w:t>（2）运输扬尘</w:t>
            </w:r>
          </w:p>
          <w:p>
            <w:pPr>
              <w:widowControl/>
              <w:adjustRightInd w:val="0"/>
              <w:snapToGrid w:val="0"/>
              <w:spacing w:line="360" w:lineRule="auto"/>
              <w:ind w:firstLine="480" w:firstLineChars="200"/>
              <w:rPr>
                <w:rFonts w:ascii="Times New Roman" w:hAnsi="Times New Roman" w:eastAsia="宋体" w:cs="Times New Roman"/>
                <w:kern w:val="0"/>
                <w:sz w:val="24"/>
              </w:rPr>
            </w:pPr>
            <w:r>
              <w:rPr>
                <w:rFonts w:ascii="Times New Roman" w:hAnsi="Times New Roman" w:eastAsia="宋体" w:cs="Times New Roman"/>
                <w:sz w:val="24"/>
              </w:rPr>
              <w:t>根据类比资料，车辆行驶产生的扬尘占总扬尘的60％以上，车辆行驶产生的扬尘，在完全干燥情况下，可按下列经验公式计算：</w:t>
            </w:r>
          </w:p>
          <w:p>
            <w:pPr>
              <w:widowControl/>
              <w:adjustRightInd w:val="0"/>
              <w:snapToGrid w:val="0"/>
              <w:spacing w:line="360" w:lineRule="auto"/>
              <w:ind w:firstLine="448" w:firstLineChars="187"/>
              <w:rPr>
                <w:rFonts w:ascii="Times New Roman" w:hAnsi="Times New Roman" w:eastAsia="宋体" w:cs="Times New Roman"/>
                <w:kern w:val="0"/>
                <w:sz w:val="24"/>
              </w:rPr>
            </w:pPr>
            <w:r>
              <w:rPr>
                <w:rFonts w:ascii="Times New Roman" w:hAnsi="Times New Roman" w:eastAsia="宋体" w:cs="Times New Roman"/>
                <w:kern w:val="0"/>
                <w:sz w:val="24"/>
              </w:rPr>
              <w:drawing>
                <wp:inline distT="0" distB="0" distL="114300" distR="114300">
                  <wp:extent cx="2190750" cy="552450"/>
                  <wp:effectExtent l="0" t="0" r="0" b="0"/>
                  <wp:docPr id="9"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1"/>
                          <pic:cNvPicPr>
                            <a:picLocks noChangeAspect="1"/>
                          </pic:cNvPicPr>
                        </pic:nvPicPr>
                        <pic:blipFill>
                          <a:blip r:embed="rId9"/>
                          <a:stretch>
                            <a:fillRect/>
                          </a:stretch>
                        </pic:blipFill>
                        <pic:spPr>
                          <a:xfrm>
                            <a:off x="0" y="0"/>
                            <a:ext cx="2190750" cy="552450"/>
                          </a:xfrm>
                          <a:prstGeom prst="rect">
                            <a:avLst/>
                          </a:prstGeom>
                          <a:noFill/>
                          <a:ln>
                            <a:noFill/>
                          </a:ln>
                        </pic:spPr>
                      </pic:pic>
                    </a:graphicData>
                  </a:graphic>
                </wp:inline>
              </w:drawing>
            </w:r>
          </w:p>
          <w:p>
            <w:pPr>
              <w:widowControl/>
              <w:adjustRightInd w:val="0"/>
              <w:snapToGrid w:val="0"/>
              <w:spacing w:line="312" w:lineRule="auto"/>
              <w:ind w:firstLine="430" w:firstLineChars="187"/>
              <w:rPr>
                <w:rFonts w:ascii="Times New Roman" w:hAnsi="Times New Roman" w:eastAsia="宋体" w:cs="Times New Roman"/>
                <w:kern w:val="0"/>
                <w:sz w:val="24"/>
              </w:rPr>
            </w:pPr>
            <w:r>
              <w:rPr>
                <w:rFonts w:ascii="Times New Roman" w:hAnsi="Times New Roman" w:eastAsia="宋体" w:cs="Times New Roman"/>
                <w:sz w:val="23"/>
                <w:szCs w:val="23"/>
              </w:rPr>
              <w:t>式</w:t>
            </w:r>
            <w:r>
              <w:rPr>
                <w:rFonts w:ascii="Times New Roman" w:hAnsi="Times New Roman" w:eastAsia="宋体" w:cs="Times New Roman"/>
                <w:sz w:val="24"/>
              </w:rPr>
              <w:t>中：Q——汽车行驶时的扬尘，kg/km•辆；</w:t>
            </w:r>
          </w:p>
          <w:p>
            <w:pPr>
              <w:widowControl/>
              <w:adjustRightInd w:val="0"/>
              <w:snapToGrid w:val="0"/>
              <w:spacing w:line="312" w:lineRule="auto"/>
              <w:ind w:firstLine="1286" w:firstLineChars="536"/>
              <w:rPr>
                <w:rFonts w:ascii="Times New Roman" w:hAnsi="Times New Roman" w:eastAsia="宋体" w:cs="Times New Roman"/>
                <w:kern w:val="0"/>
                <w:sz w:val="24"/>
              </w:rPr>
            </w:pPr>
            <w:r>
              <w:rPr>
                <w:rFonts w:ascii="Times New Roman" w:hAnsi="Times New Roman" w:eastAsia="宋体" w:cs="Times New Roman"/>
                <w:sz w:val="24"/>
              </w:rPr>
              <w:t>V——汽车速度，km/h；</w:t>
            </w:r>
          </w:p>
          <w:p>
            <w:pPr>
              <w:widowControl/>
              <w:adjustRightInd w:val="0"/>
              <w:snapToGrid w:val="0"/>
              <w:spacing w:line="312" w:lineRule="auto"/>
              <w:ind w:firstLine="1286" w:firstLineChars="536"/>
              <w:rPr>
                <w:rFonts w:ascii="Times New Roman" w:hAnsi="Times New Roman" w:eastAsia="宋体" w:cs="Times New Roman"/>
                <w:sz w:val="24"/>
              </w:rPr>
            </w:pPr>
            <w:r>
              <w:rPr>
                <w:rFonts w:ascii="Times New Roman" w:hAnsi="Times New Roman" w:eastAsia="宋体" w:cs="Times New Roman"/>
                <w:sz w:val="24"/>
              </w:rPr>
              <w:t>W——汽车载重量，吨；</w:t>
            </w:r>
          </w:p>
          <w:p>
            <w:pPr>
              <w:widowControl/>
              <w:adjustRightInd w:val="0"/>
              <w:snapToGrid w:val="0"/>
              <w:spacing w:line="312" w:lineRule="auto"/>
              <w:ind w:firstLine="1286" w:firstLineChars="536"/>
              <w:rPr>
                <w:rFonts w:ascii="Times New Roman" w:hAnsi="Times New Roman" w:eastAsia="宋体" w:cs="Times New Roman"/>
                <w:sz w:val="24"/>
              </w:rPr>
            </w:pPr>
            <w:r>
              <w:rPr>
                <w:rFonts w:ascii="Times New Roman" w:hAnsi="Times New Roman" w:eastAsia="宋体" w:cs="Times New Roman"/>
                <w:sz w:val="24"/>
              </w:rPr>
              <w:t>P——道路表面粉尘量，kg/m</w:t>
            </w:r>
            <w:r>
              <w:rPr>
                <w:rFonts w:ascii="Times New Roman" w:hAnsi="Times New Roman" w:eastAsia="宋体" w:cs="Times New Roman"/>
                <w:sz w:val="24"/>
                <w:vertAlign w:val="superscript"/>
              </w:rPr>
              <w:t>2</w:t>
            </w:r>
            <w:r>
              <w:rPr>
                <w:rFonts w:ascii="Times New Roman" w:hAnsi="Times New Roman" w:eastAsia="宋体" w:cs="Times New Roman"/>
                <w:sz w:val="24"/>
              </w:rPr>
              <w:t>。</w:t>
            </w:r>
          </w:p>
          <w:p>
            <w:pPr>
              <w:widowControl/>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表4-2中为10吨卡车通过一段长度为1km的路面时，不同路面清洁程度，不同行驶速度情况下的扬尘量。</w:t>
            </w:r>
          </w:p>
          <w:p>
            <w:pPr>
              <w:widowControl/>
              <w:adjustRightInd w:val="0"/>
              <w:snapToGrid w:val="0"/>
              <w:jc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表4-2 在不同车速和地面清洁程度的汽车扬尘   (单位：kg/辆·km)</w:t>
            </w:r>
          </w:p>
          <w:tbl>
            <w:tblPr>
              <w:tblStyle w:val="29"/>
              <w:tblW w:w="7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8"/>
              <w:gridCol w:w="976"/>
              <w:gridCol w:w="975"/>
              <w:gridCol w:w="975"/>
              <w:gridCol w:w="975"/>
              <w:gridCol w:w="975"/>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788" w:type="dxa"/>
                  <w:tcBorders>
                    <w:left w:val="single" w:color="auto" w:sz="4" w:space="0"/>
                    <w:tl2br w:val="single" w:color="auto" w:sz="4" w:space="0"/>
                  </w:tcBorders>
                  <w:vAlign w:val="center"/>
                </w:tcPr>
                <w:p>
                  <w:pPr>
                    <w:widowControl/>
                    <w:adjustRightInd w:val="0"/>
                    <w:snapToGrid w:val="0"/>
                    <w:jc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P</w:t>
                  </w:r>
                </w:p>
                <w:p>
                  <w:pPr>
                    <w:widowControl/>
                    <w:adjustRightInd w:val="0"/>
                    <w:snapToGrid w:val="0"/>
                    <w:jc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车速</w:t>
                  </w:r>
                </w:p>
              </w:tc>
              <w:tc>
                <w:tcPr>
                  <w:tcW w:w="976" w:type="dxa"/>
                  <w:vAlign w:val="center"/>
                </w:tcPr>
                <w:p>
                  <w:pPr>
                    <w:widowControl/>
                    <w:adjustRightInd w:val="0"/>
                    <w:snapToGrid w:val="0"/>
                    <w:jc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0.1</w:t>
                  </w:r>
                </w:p>
              </w:tc>
              <w:tc>
                <w:tcPr>
                  <w:tcW w:w="975" w:type="dxa"/>
                  <w:vAlign w:val="center"/>
                </w:tcPr>
                <w:p>
                  <w:pPr>
                    <w:widowControl/>
                    <w:adjustRightInd w:val="0"/>
                    <w:snapToGrid w:val="0"/>
                    <w:jc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0.2</w:t>
                  </w:r>
                </w:p>
              </w:tc>
              <w:tc>
                <w:tcPr>
                  <w:tcW w:w="975" w:type="dxa"/>
                  <w:vAlign w:val="center"/>
                </w:tcPr>
                <w:p>
                  <w:pPr>
                    <w:widowControl/>
                    <w:adjustRightInd w:val="0"/>
                    <w:snapToGrid w:val="0"/>
                    <w:jc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0.3</w:t>
                  </w:r>
                </w:p>
              </w:tc>
              <w:tc>
                <w:tcPr>
                  <w:tcW w:w="975" w:type="dxa"/>
                  <w:vAlign w:val="center"/>
                </w:tcPr>
                <w:p>
                  <w:pPr>
                    <w:widowControl/>
                    <w:adjustRightInd w:val="0"/>
                    <w:snapToGrid w:val="0"/>
                    <w:jc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0.4</w:t>
                  </w:r>
                </w:p>
              </w:tc>
              <w:tc>
                <w:tcPr>
                  <w:tcW w:w="975" w:type="dxa"/>
                  <w:vAlign w:val="center"/>
                </w:tcPr>
                <w:p>
                  <w:pPr>
                    <w:widowControl/>
                    <w:adjustRightInd w:val="0"/>
                    <w:snapToGrid w:val="0"/>
                    <w:jc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0.5</w:t>
                  </w:r>
                </w:p>
              </w:tc>
              <w:tc>
                <w:tcPr>
                  <w:tcW w:w="975" w:type="dxa"/>
                  <w:tcBorders>
                    <w:right w:val="single" w:color="auto" w:sz="4" w:space="0"/>
                  </w:tcBorders>
                  <w:vAlign w:val="center"/>
                </w:tcPr>
                <w:p>
                  <w:pPr>
                    <w:widowControl/>
                    <w:adjustRightInd w:val="0"/>
                    <w:snapToGrid w:val="0"/>
                    <w:jc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88" w:type="dxa"/>
                  <w:tcBorders>
                    <w:left w:val="single" w:color="auto" w:sz="4" w:space="0"/>
                  </w:tcBorders>
                  <w:vAlign w:val="center"/>
                </w:tcPr>
                <w:p>
                  <w:pPr>
                    <w:widowControl/>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5（km/h）</w:t>
                  </w:r>
                </w:p>
              </w:tc>
              <w:tc>
                <w:tcPr>
                  <w:tcW w:w="976" w:type="dxa"/>
                  <w:vAlign w:val="center"/>
                </w:tcPr>
                <w:p>
                  <w:pPr>
                    <w:widowControl/>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0.051</w:t>
                  </w:r>
                </w:p>
              </w:tc>
              <w:tc>
                <w:tcPr>
                  <w:tcW w:w="975" w:type="dxa"/>
                  <w:vAlign w:val="center"/>
                </w:tcPr>
                <w:p>
                  <w:pPr>
                    <w:widowControl/>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0.086</w:t>
                  </w:r>
                </w:p>
              </w:tc>
              <w:tc>
                <w:tcPr>
                  <w:tcW w:w="975" w:type="dxa"/>
                  <w:vAlign w:val="center"/>
                </w:tcPr>
                <w:p>
                  <w:pPr>
                    <w:widowControl/>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0.116</w:t>
                  </w:r>
                </w:p>
              </w:tc>
              <w:tc>
                <w:tcPr>
                  <w:tcW w:w="975" w:type="dxa"/>
                  <w:vAlign w:val="center"/>
                </w:tcPr>
                <w:p>
                  <w:pPr>
                    <w:widowControl/>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0.144</w:t>
                  </w:r>
                </w:p>
              </w:tc>
              <w:tc>
                <w:tcPr>
                  <w:tcW w:w="975" w:type="dxa"/>
                  <w:vAlign w:val="center"/>
                </w:tcPr>
                <w:p>
                  <w:pPr>
                    <w:widowControl/>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0.171</w:t>
                  </w:r>
                </w:p>
              </w:tc>
              <w:tc>
                <w:tcPr>
                  <w:tcW w:w="975" w:type="dxa"/>
                  <w:tcBorders>
                    <w:right w:val="single" w:color="auto" w:sz="4" w:space="0"/>
                  </w:tcBorders>
                  <w:vAlign w:val="center"/>
                </w:tcPr>
                <w:p>
                  <w:pPr>
                    <w:widowControl/>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0.287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88" w:type="dxa"/>
                  <w:tcBorders>
                    <w:left w:val="single" w:color="auto" w:sz="4" w:space="0"/>
                  </w:tcBorders>
                  <w:vAlign w:val="center"/>
                </w:tcPr>
                <w:p>
                  <w:pPr>
                    <w:widowControl/>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10（km/h）</w:t>
                  </w:r>
                </w:p>
              </w:tc>
              <w:tc>
                <w:tcPr>
                  <w:tcW w:w="976" w:type="dxa"/>
                  <w:vAlign w:val="center"/>
                </w:tcPr>
                <w:p>
                  <w:pPr>
                    <w:widowControl/>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0.102</w:t>
                  </w:r>
                </w:p>
              </w:tc>
              <w:tc>
                <w:tcPr>
                  <w:tcW w:w="975" w:type="dxa"/>
                  <w:vAlign w:val="center"/>
                </w:tcPr>
                <w:p>
                  <w:pPr>
                    <w:widowControl/>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0.171</w:t>
                  </w:r>
                </w:p>
              </w:tc>
              <w:tc>
                <w:tcPr>
                  <w:tcW w:w="975" w:type="dxa"/>
                  <w:vAlign w:val="center"/>
                </w:tcPr>
                <w:p>
                  <w:pPr>
                    <w:widowControl/>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0.232</w:t>
                  </w:r>
                </w:p>
              </w:tc>
              <w:tc>
                <w:tcPr>
                  <w:tcW w:w="975" w:type="dxa"/>
                  <w:vAlign w:val="center"/>
                </w:tcPr>
                <w:p>
                  <w:pPr>
                    <w:widowControl/>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0.289</w:t>
                  </w:r>
                </w:p>
              </w:tc>
              <w:tc>
                <w:tcPr>
                  <w:tcW w:w="975" w:type="dxa"/>
                  <w:vAlign w:val="center"/>
                </w:tcPr>
                <w:p>
                  <w:pPr>
                    <w:widowControl/>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0.341</w:t>
                  </w:r>
                </w:p>
              </w:tc>
              <w:tc>
                <w:tcPr>
                  <w:tcW w:w="975" w:type="dxa"/>
                  <w:tcBorders>
                    <w:right w:val="single" w:color="auto" w:sz="4" w:space="0"/>
                  </w:tcBorders>
                  <w:vAlign w:val="center"/>
                </w:tcPr>
                <w:p>
                  <w:pPr>
                    <w:widowControl/>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0.574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88" w:type="dxa"/>
                  <w:tcBorders>
                    <w:left w:val="single" w:color="auto" w:sz="4" w:space="0"/>
                  </w:tcBorders>
                  <w:vAlign w:val="center"/>
                </w:tcPr>
                <w:p>
                  <w:pPr>
                    <w:widowControl/>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15（km/h）</w:t>
                  </w:r>
                </w:p>
              </w:tc>
              <w:tc>
                <w:tcPr>
                  <w:tcW w:w="976" w:type="dxa"/>
                  <w:vAlign w:val="center"/>
                </w:tcPr>
                <w:p>
                  <w:pPr>
                    <w:widowControl/>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0.153</w:t>
                  </w:r>
                </w:p>
              </w:tc>
              <w:tc>
                <w:tcPr>
                  <w:tcW w:w="975" w:type="dxa"/>
                  <w:vAlign w:val="center"/>
                </w:tcPr>
                <w:p>
                  <w:pPr>
                    <w:widowControl/>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0.257</w:t>
                  </w:r>
                </w:p>
              </w:tc>
              <w:tc>
                <w:tcPr>
                  <w:tcW w:w="975" w:type="dxa"/>
                  <w:vAlign w:val="center"/>
                </w:tcPr>
                <w:p>
                  <w:pPr>
                    <w:widowControl/>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0.349</w:t>
                  </w:r>
                </w:p>
              </w:tc>
              <w:tc>
                <w:tcPr>
                  <w:tcW w:w="975" w:type="dxa"/>
                  <w:vAlign w:val="center"/>
                </w:tcPr>
                <w:p>
                  <w:pPr>
                    <w:widowControl/>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0.433</w:t>
                  </w:r>
                </w:p>
              </w:tc>
              <w:tc>
                <w:tcPr>
                  <w:tcW w:w="975" w:type="dxa"/>
                  <w:vAlign w:val="center"/>
                </w:tcPr>
                <w:p>
                  <w:pPr>
                    <w:widowControl/>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0.512</w:t>
                  </w:r>
                </w:p>
              </w:tc>
              <w:tc>
                <w:tcPr>
                  <w:tcW w:w="975" w:type="dxa"/>
                  <w:tcBorders>
                    <w:right w:val="single" w:color="auto" w:sz="4" w:space="0"/>
                  </w:tcBorders>
                  <w:vAlign w:val="center"/>
                </w:tcPr>
                <w:p>
                  <w:pPr>
                    <w:widowControl/>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0.861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88" w:type="dxa"/>
                  <w:tcBorders>
                    <w:left w:val="single" w:color="auto" w:sz="4" w:space="0"/>
                  </w:tcBorders>
                  <w:vAlign w:val="center"/>
                </w:tcPr>
                <w:p>
                  <w:pPr>
                    <w:widowControl/>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20（km/h）</w:t>
                  </w:r>
                </w:p>
              </w:tc>
              <w:tc>
                <w:tcPr>
                  <w:tcW w:w="976" w:type="dxa"/>
                  <w:vAlign w:val="center"/>
                </w:tcPr>
                <w:p>
                  <w:pPr>
                    <w:widowControl/>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0.255</w:t>
                  </w:r>
                </w:p>
              </w:tc>
              <w:tc>
                <w:tcPr>
                  <w:tcW w:w="975" w:type="dxa"/>
                  <w:vAlign w:val="center"/>
                </w:tcPr>
                <w:p>
                  <w:pPr>
                    <w:widowControl/>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0.429</w:t>
                  </w:r>
                </w:p>
              </w:tc>
              <w:tc>
                <w:tcPr>
                  <w:tcW w:w="975" w:type="dxa"/>
                  <w:vAlign w:val="center"/>
                </w:tcPr>
                <w:p>
                  <w:pPr>
                    <w:widowControl/>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0.582</w:t>
                  </w:r>
                </w:p>
              </w:tc>
              <w:tc>
                <w:tcPr>
                  <w:tcW w:w="975" w:type="dxa"/>
                  <w:vAlign w:val="center"/>
                </w:tcPr>
                <w:p>
                  <w:pPr>
                    <w:widowControl/>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0.722</w:t>
                  </w:r>
                </w:p>
              </w:tc>
              <w:tc>
                <w:tcPr>
                  <w:tcW w:w="975" w:type="dxa"/>
                  <w:vAlign w:val="center"/>
                </w:tcPr>
                <w:p>
                  <w:pPr>
                    <w:widowControl/>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0.853</w:t>
                  </w:r>
                </w:p>
              </w:tc>
              <w:tc>
                <w:tcPr>
                  <w:tcW w:w="975" w:type="dxa"/>
                  <w:tcBorders>
                    <w:right w:val="single" w:color="auto" w:sz="4" w:space="0"/>
                  </w:tcBorders>
                  <w:vAlign w:val="center"/>
                </w:tcPr>
                <w:p>
                  <w:pPr>
                    <w:widowControl/>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1.435</w:t>
                  </w:r>
                </w:p>
              </w:tc>
            </w:tr>
          </w:tbl>
          <w:p>
            <w:pPr>
              <w:autoSpaceDE w:val="0"/>
              <w:autoSpaceDN w:val="0"/>
              <w:adjustRightInd w:val="0"/>
              <w:snapToGrid w:val="0"/>
              <w:spacing w:line="360" w:lineRule="auto"/>
              <w:ind w:firstLine="480" w:firstLineChars="200"/>
              <w:rPr>
                <w:rFonts w:ascii="Times New Roman" w:hAnsi="Times New Roman" w:eastAsia="宋体" w:cs="Times New Roman"/>
                <w:kern w:val="0"/>
                <w:sz w:val="24"/>
              </w:rPr>
            </w:pPr>
            <w:r>
              <w:rPr>
                <w:rFonts w:ascii="Times New Roman" w:hAnsi="Times New Roman" w:eastAsia="宋体" w:cs="Times New Roman"/>
                <w:kern w:val="0"/>
                <w:sz w:val="24"/>
              </w:rPr>
              <w:t>由上表可见，在同样路面清洁程度条件下，车速越快，扬尘量越大；而在同样车速情况下，路面越脏，则扬尘量越大。因此限速行驶及保持路面的清洁是减少汽车扬尘的有效办法。一般情况下，施工车辆动力起尘的影响范围是道路两侧30m以内。如果在施工期间对车辆行驶的路面实施洒水抑尘，每天洒水4～5次，可使扬尘减少70%左右。施工场地洒水抑尘试验结果见表4-3。</w:t>
            </w:r>
          </w:p>
          <w:p>
            <w:pPr>
              <w:widowControl/>
              <w:adjustRightInd w:val="0"/>
              <w:snapToGrid w:val="0"/>
              <w:jc w:val="center"/>
              <w:rPr>
                <w:rFonts w:ascii="Times New Roman" w:hAnsi="Times New Roman" w:eastAsia="宋体" w:cs="Times New Roman"/>
                <w:b/>
                <w:kern w:val="0"/>
                <w:szCs w:val="21"/>
              </w:rPr>
            </w:pPr>
            <w:r>
              <w:rPr>
                <w:rFonts w:ascii="Times New Roman" w:hAnsi="Times New Roman" w:eastAsia="宋体" w:cs="Times New Roman"/>
                <w:b/>
                <w:szCs w:val="21"/>
              </w:rPr>
              <w:t>表4-3 施工场地洒水抑尘试验结果</w:t>
            </w:r>
          </w:p>
          <w:tbl>
            <w:tblPr>
              <w:tblStyle w:val="29"/>
              <w:tblW w:w="75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8"/>
              <w:gridCol w:w="1042"/>
              <w:gridCol w:w="1266"/>
              <w:gridCol w:w="1260"/>
              <w:gridCol w:w="12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jc w:val="center"/>
              </w:trPr>
              <w:tc>
                <w:tcPr>
                  <w:tcW w:w="1508" w:type="dxa"/>
                  <w:vAlign w:val="center"/>
                </w:tcPr>
                <w:p>
                  <w:pPr>
                    <w:autoSpaceDE w:val="0"/>
                    <w:autoSpaceDN w:val="0"/>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距离（m）</w:t>
                  </w:r>
                </w:p>
              </w:tc>
              <w:tc>
                <w:tcPr>
                  <w:tcW w:w="1042" w:type="dxa"/>
                  <w:vAlign w:val="center"/>
                </w:tcPr>
                <w:p>
                  <w:pPr>
                    <w:widowControl/>
                    <w:adjustRightInd w:val="0"/>
                    <w:snapToGrid w:val="0"/>
                    <w:jc w:val="center"/>
                    <w:rPr>
                      <w:rFonts w:ascii="Times New Roman" w:hAnsi="Times New Roman" w:eastAsia="宋体" w:cs="Times New Roman"/>
                      <w:b/>
                      <w:kern w:val="0"/>
                      <w:szCs w:val="21"/>
                    </w:rPr>
                  </w:pPr>
                  <w:r>
                    <w:rPr>
                      <w:rFonts w:ascii="Times New Roman" w:hAnsi="Times New Roman" w:eastAsia="宋体" w:cs="Times New Roman"/>
                      <w:b/>
                      <w:kern w:val="0"/>
                      <w:szCs w:val="21"/>
                    </w:rPr>
                    <w:t>/</w:t>
                  </w:r>
                </w:p>
              </w:tc>
              <w:tc>
                <w:tcPr>
                  <w:tcW w:w="1266" w:type="dxa"/>
                  <w:vAlign w:val="center"/>
                </w:tcPr>
                <w:p>
                  <w:pPr>
                    <w:autoSpaceDE w:val="0"/>
                    <w:autoSpaceDN w:val="0"/>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5</w:t>
                  </w:r>
                </w:p>
              </w:tc>
              <w:tc>
                <w:tcPr>
                  <w:tcW w:w="1260" w:type="dxa"/>
                  <w:vAlign w:val="center"/>
                </w:tcPr>
                <w:p>
                  <w:pPr>
                    <w:autoSpaceDE w:val="0"/>
                    <w:autoSpaceDN w:val="0"/>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20</w:t>
                  </w:r>
                </w:p>
              </w:tc>
              <w:tc>
                <w:tcPr>
                  <w:tcW w:w="1260" w:type="dxa"/>
                  <w:vAlign w:val="center"/>
                </w:tcPr>
                <w:p>
                  <w:pPr>
                    <w:autoSpaceDE w:val="0"/>
                    <w:autoSpaceDN w:val="0"/>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50</w:t>
                  </w:r>
                </w:p>
              </w:tc>
              <w:tc>
                <w:tcPr>
                  <w:tcW w:w="1260" w:type="dxa"/>
                  <w:vAlign w:val="center"/>
                </w:tcPr>
                <w:p>
                  <w:pPr>
                    <w:autoSpaceDE w:val="0"/>
                    <w:autoSpaceDN w:val="0"/>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08" w:type="dxa"/>
                  <w:vMerge w:val="restart"/>
                  <w:vAlign w:val="center"/>
                </w:tcPr>
                <w:p>
                  <w:pPr>
                    <w:autoSpaceDE w:val="0"/>
                    <w:autoSpaceDN w:val="0"/>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TSP小时平均浓度（mg/m</w:t>
                  </w:r>
                  <w:r>
                    <w:rPr>
                      <w:rFonts w:ascii="Times New Roman" w:hAnsi="Times New Roman" w:eastAsia="宋体" w:cs="Times New Roman"/>
                      <w:szCs w:val="21"/>
                      <w:vertAlign w:val="superscript"/>
                    </w:rPr>
                    <w:t>3</w:t>
                  </w:r>
                  <w:r>
                    <w:rPr>
                      <w:rFonts w:ascii="Times New Roman" w:hAnsi="Times New Roman" w:eastAsia="宋体" w:cs="Times New Roman"/>
                      <w:szCs w:val="21"/>
                    </w:rPr>
                    <w:t>）</w:t>
                  </w:r>
                </w:p>
              </w:tc>
              <w:tc>
                <w:tcPr>
                  <w:tcW w:w="1042" w:type="dxa"/>
                  <w:vAlign w:val="center"/>
                </w:tcPr>
                <w:p>
                  <w:pPr>
                    <w:autoSpaceDE w:val="0"/>
                    <w:autoSpaceDN w:val="0"/>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不洒水</w:t>
                  </w:r>
                </w:p>
              </w:tc>
              <w:tc>
                <w:tcPr>
                  <w:tcW w:w="1266" w:type="dxa"/>
                  <w:vAlign w:val="center"/>
                </w:tcPr>
                <w:p>
                  <w:pPr>
                    <w:autoSpaceDE w:val="0"/>
                    <w:autoSpaceDN w:val="0"/>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10.14</w:t>
                  </w:r>
                </w:p>
              </w:tc>
              <w:tc>
                <w:tcPr>
                  <w:tcW w:w="1260" w:type="dxa"/>
                  <w:vAlign w:val="center"/>
                </w:tcPr>
                <w:p>
                  <w:pPr>
                    <w:autoSpaceDE w:val="0"/>
                    <w:autoSpaceDN w:val="0"/>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2.89</w:t>
                  </w:r>
                </w:p>
              </w:tc>
              <w:tc>
                <w:tcPr>
                  <w:tcW w:w="1260" w:type="dxa"/>
                  <w:vAlign w:val="center"/>
                </w:tcPr>
                <w:p>
                  <w:pPr>
                    <w:autoSpaceDE w:val="0"/>
                    <w:autoSpaceDN w:val="0"/>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1.15</w:t>
                  </w:r>
                </w:p>
              </w:tc>
              <w:tc>
                <w:tcPr>
                  <w:tcW w:w="1260" w:type="dxa"/>
                  <w:vAlign w:val="center"/>
                </w:tcPr>
                <w:p>
                  <w:pPr>
                    <w:autoSpaceDE w:val="0"/>
                    <w:autoSpaceDN w:val="0"/>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08" w:type="dxa"/>
                  <w:vMerge w:val="continue"/>
                  <w:vAlign w:val="center"/>
                </w:tcPr>
                <w:p>
                  <w:pPr>
                    <w:widowControl/>
                    <w:adjustRightInd w:val="0"/>
                    <w:snapToGrid w:val="0"/>
                    <w:jc w:val="center"/>
                    <w:rPr>
                      <w:rFonts w:ascii="Times New Roman" w:hAnsi="Times New Roman" w:eastAsia="宋体" w:cs="Times New Roman"/>
                      <w:kern w:val="0"/>
                      <w:szCs w:val="21"/>
                    </w:rPr>
                  </w:pPr>
                </w:p>
              </w:tc>
              <w:tc>
                <w:tcPr>
                  <w:tcW w:w="1042" w:type="dxa"/>
                  <w:vAlign w:val="center"/>
                </w:tcPr>
                <w:p>
                  <w:pPr>
                    <w:autoSpaceDE w:val="0"/>
                    <w:autoSpaceDN w:val="0"/>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洒水</w:t>
                  </w:r>
                </w:p>
              </w:tc>
              <w:tc>
                <w:tcPr>
                  <w:tcW w:w="1266" w:type="dxa"/>
                  <w:vAlign w:val="center"/>
                </w:tcPr>
                <w:p>
                  <w:pPr>
                    <w:autoSpaceDE w:val="0"/>
                    <w:autoSpaceDN w:val="0"/>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2.01</w:t>
                  </w:r>
                </w:p>
              </w:tc>
              <w:tc>
                <w:tcPr>
                  <w:tcW w:w="1260" w:type="dxa"/>
                  <w:vAlign w:val="center"/>
                </w:tcPr>
                <w:p>
                  <w:pPr>
                    <w:autoSpaceDE w:val="0"/>
                    <w:autoSpaceDN w:val="0"/>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1.40</w:t>
                  </w:r>
                </w:p>
              </w:tc>
              <w:tc>
                <w:tcPr>
                  <w:tcW w:w="1260" w:type="dxa"/>
                  <w:vAlign w:val="center"/>
                </w:tcPr>
                <w:p>
                  <w:pPr>
                    <w:autoSpaceDE w:val="0"/>
                    <w:autoSpaceDN w:val="0"/>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0.67</w:t>
                  </w:r>
                </w:p>
              </w:tc>
              <w:tc>
                <w:tcPr>
                  <w:tcW w:w="1260" w:type="dxa"/>
                  <w:vAlign w:val="center"/>
                </w:tcPr>
                <w:p>
                  <w:pPr>
                    <w:autoSpaceDE w:val="0"/>
                    <w:autoSpaceDN w:val="0"/>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0.60</w:t>
                  </w:r>
                </w:p>
              </w:tc>
            </w:tr>
          </w:tbl>
          <w:p>
            <w:pPr>
              <w:widowControl/>
              <w:adjustRightInd w:val="0"/>
              <w:snapToGrid w:val="0"/>
              <w:spacing w:line="360" w:lineRule="auto"/>
              <w:ind w:firstLine="482"/>
              <w:rPr>
                <w:rFonts w:ascii="Times New Roman" w:hAnsi="Times New Roman" w:eastAsia="宋体" w:cs="Times New Roman"/>
                <w:kern w:val="0"/>
                <w:sz w:val="24"/>
              </w:rPr>
            </w:pPr>
            <w:r>
              <w:rPr>
                <w:rFonts w:ascii="Times New Roman" w:hAnsi="Times New Roman" w:eastAsia="宋体" w:cs="Times New Roman"/>
                <w:sz w:val="24"/>
              </w:rPr>
              <w:t>施工场地洒水抑尘试验结果表明：每天洒水4～5次进行抑尘，可有效地控制施工扬尘，可将TSP的污染距离缩小到20m～50m。</w:t>
            </w:r>
          </w:p>
          <w:p>
            <w:pPr>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施工期通过采取如上抑尘措施后，项目施工扬尘对评价区域的环境空气质量影响不大。</w:t>
            </w:r>
          </w:p>
          <w:p>
            <w:pPr>
              <w:adjustRightInd w:val="0"/>
              <w:snapToGrid w:val="0"/>
              <w:spacing w:line="360" w:lineRule="auto"/>
              <w:ind w:firstLine="482" w:firstLineChars="200"/>
              <w:rPr>
                <w:rFonts w:ascii="Times New Roman" w:hAnsi="Times New Roman" w:eastAsia="宋体" w:cs="Times New Roman"/>
                <w:b/>
                <w:bCs/>
                <w:sz w:val="24"/>
              </w:rPr>
            </w:pPr>
            <w:r>
              <w:rPr>
                <w:rFonts w:ascii="Times New Roman" w:hAnsi="Times New Roman" w:eastAsia="宋体" w:cs="Times New Roman"/>
                <w:b/>
                <w:bCs/>
                <w:sz w:val="24"/>
              </w:rPr>
              <w:t>（3）施工机械产生的废气</w:t>
            </w:r>
          </w:p>
          <w:p>
            <w:pPr>
              <w:autoSpaceDE w:val="0"/>
              <w:autoSpaceDN w:val="0"/>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施工期机械废气主要来源于运输车辆及其他燃油机械施工时产生的尾气，主要污染物是烟尘、CO、HC和NO</w:t>
            </w:r>
            <w:r>
              <w:rPr>
                <w:rFonts w:ascii="Times New Roman" w:hAnsi="Times New Roman" w:eastAsia="宋体" w:cs="Times New Roman"/>
                <w:sz w:val="24"/>
                <w:vertAlign w:val="subscript"/>
              </w:rPr>
              <w:t>X</w:t>
            </w:r>
            <w:r>
              <w:rPr>
                <w:rFonts w:ascii="Times New Roman" w:hAnsi="Times New Roman" w:eastAsia="宋体" w:cs="Times New Roman"/>
                <w:sz w:val="24"/>
              </w:rPr>
              <w:t>。施工燃油废气均为无组织、间歇式排放，项目施工机械数量较少、使用时间较短且较分散，施工机械和运输车辆外排尾气量较小。</w:t>
            </w:r>
          </w:p>
          <w:p>
            <w:pPr>
              <w:autoSpaceDE w:val="0"/>
              <w:autoSpaceDN w:val="0"/>
              <w:adjustRightInd w:val="0"/>
              <w:snapToGrid w:val="0"/>
              <w:spacing w:line="360" w:lineRule="auto"/>
              <w:ind w:firstLine="482" w:firstLineChars="200"/>
              <w:rPr>
                <w:rFonts w:ascii="Times New Roman" w:hAnsi="Times New Roman" w:eastAsia="宋体" w:cs="Times New Roman"/>
                <w:sz w:val="24"/>
              </w:rPr>
            </w:pPr>
            <w:r>
              <w:rPr>
                <w:rFonts w:ascii="Times New Roman" w:hAnsi="Times New Roman" w:eastAsia="宋体" w:cs="Times New Roman"/>
                <w:b/>
                <w:bCs/>
                <w:sz w:val="24"/>
              </w:rPr>
              <w:t>2、施工期大气环境保护措施</w:t>
            </w:r>
          </w:p>
          <w:p>
            <w:pPr>
              <w:autoSpaceDE w:val="0"/>
              <w:autoSpaceDN w:val="0"/>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（1）砂石堆场在露天堆放时，应对其进行洒水，提高表面含水率，起到抑尘的效果；对水泥等易产生扬尘的物料，应盖篷布。</w:t>
            </w:r>
          </w:p>
          <w:p>
            <w:pPr>
              <w:autoSpaceDE w:val="0"/>
              <w:autoSpaceDN w:val="0"/>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（2）避免在起风的情况下装卸易起尘物料。</w:t>
            </w:r>
          </w:p>
          <w:p>
            <w:pPr>
              <w:pStyle w:val="7"/>
              <w:adjustRightInd w:val="0"/>
              <w:snapToGrid w:val="0"/>
              <w:spacing w:line="360" w:lineRule="auto"/>
              <w:ind w:firstLine="480"/>
              <w:rPr>
                <w:rFonts w:ascii="Times New Roman" w:hAnsi="Times New Roman" w:eastAsia="宋体" w:cs="Times New Roman"/>
              </w:rPr>
            </w:pPr>
            <w:r>
              <w:rPr>
                <w:rFonts w:ascii="Times New Roman" w:hAnsi="Times New Roman" w:eastAsia="宋体" w:cs="Times New Roman"/>
              </w:rPr>
              <w:t>（3）对工地附近的道路环境实行保洁制度，及时清扫，减少扬尘对环境的影响。</w:t>
            </w:r>
          </w:p>
          <w:p>
            <w:pPr>
              <w:pStyle w:val="7"/>
              <w:adjustRightInd w:val="0"/>
              <w:snapToGrid w:val="0"/>
              <w:spacing w:line="360" w:lineRule="auto"/>
              <w:ind w:firstLine="480"/>
              <w:rPr>
                <w:rFonts w:ascii="Times New Roman" w:hAnsi="Times New Roman" w:eastAsia="宋体" w:cs="Times New Roman"/>
              </w:rPr>
            </w:pPr>
            <w:r>
              <w:rPr>
                <w:rFonts w:ascii="Times New Roman" w:hAnsi="Times New Roman" w:eastAsia="宋体" w:cs="Times New Roman"/>
              </w:rPr>
              <w:t>（4）脚手架拆除前，先将水平网内、脚手板上的垃圾清理干净，清理时避免扬尘。</w:t>
            </w:r>
          </w:p>
          <w:p>
            <w:pPr>
              <w:autoSpaceDE w:val="0"/>
              <w:autoSpaceDN w:val="0"/>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（5）装卸和贮存物料应当防止物料遗撒或产生扬尘。</w:t>
            </w:r>
          </w:p>
          <w:p>
            <w:pPr>
              <w:autoSpaceDE w:val="0"/>
              <w:autoSpaceDN w:val="0"/>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（6）施工场地四周建2m高的围墙，在结构施工阶段和装修阶段对建筑物外部应用密目网围挡，可有效减轻扬尘对周围环境的影响。</w:t>
            </w:r>
          </w:p>
          <w:p>
            <w:pPr>
              <w:autoSpaceDE w:val="0"/>
              <w:autoSpaceDN w:val="0"/>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（7）接触粉尘的施工人员必须佩戴口罩等个人防护用具，防止粉尘对施工人员健康的危害。</w:t>
            </w:r>
          </w:p>
          <w:p>
            <w:pPr>
              <w:autoSpaceDE w:val="0"/>
              <w:autoSpaceDN w:val="0"/>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（8）运沙、石、水泥等的车辆载货限高和加盖篷布，防止沿途洒落、产生扬尘。</w:t>
            </w:r>
          </w:p>
          <w:p>
            <w:pPr>
              <w:autoSpaceDE w:val="0"/>
              <w:autoSpaceDN w:val="0"/>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（9）应选用车况较好的车辆，以避免因车辆本身振动而造成土方或物料散落地面，从而产生扬尘污染。</w:t>
            </w:r>
          </w:p>
          <w:p>
            <w:pPr>
              <w:autoSpaceDE w:val="0"/>
              <w:autoSpaceDN w:val="0"/>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（10）运输时间选择车流、人流较少的时间。</w:t>
            </w:r>
          </w:p>
          <w:p>
            <w:pPr>
              <w:autoSpaceDE w:val="0"/>
              <w:autoSpaceDN w:val="0"/>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（11）运输材料进出口应安排专人经常清扫和洒水降尘。</w:t>
            </w:r>
          </w:p>
          <w:p>
            <w:pPr>
              <w:pStyle w:val="7"/>
              <w:adjustRightInd w:val="0"/>
              <w:snapToGrid w:val="0"/>
              <w:spacing w:line="360" w:lineRule="auto"/>
              <w:ind w:firstLine="480"/>
              <w:rPr>
                <w:rFonts w:ascii="Times New Roman" w:hAnsi="Times New Roman" w:eastAsia="宋体" w:cs="Times New Roman"/>
              </w:rPr>
            </w:pPr>
            <w:r>
              <w:rPr>
                <w:rFonts w:ascii="Times New Roman" w:hAnsi="Times New Roman" w:eastAsia="宋体" w:cs="Times New Roman"/>
              </w:rPr>
              <w:t>（12）加强施工机械和车辆维护和保养，经常检查汽车的密封元件及进排气是否工作正常，以减少汽、柴油的泄漏，保证排气系统畅通，并使用优质燃料，减少废气的排放。</w:t>
            </w:r>
          </w:p>
          <w:p>
            <w:pPr>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综上所述，采取上述防治措施后，可以有效地减小施工期扬尘、施工机械和汽车尾气的污染影响，施工废气对环境影响较小。</w:t>
            </w:r>
          </w:p>
          <w:p>
            <w:pPr>
              <w:pStyle w:val="4"/>
              <w:adjustRightInd w:val="0"/>
              <w:snapToGrid w:val="0"/>
              <w:spacing w:before="0" w:after="0" w:line="360" w:lineRule="auto"/>
              <w:outlineLvl w:val="2"/>
              <w:rPr>
                <w:rFonts w:ascii="Times New Roman" w:hAnsi="Times New Roman" w:eastAsia="宋体"/>
                <w:sz w:val="24"/>
                <w:szCs w:val="24"/>
              </w:rPr>
            </w:pPr>
            <w:bookmarkStart w:id="294" w:name="_Toc489351227"/>
            <w:bookmarkStart w:id="295" w:name="_Toc491201908"/>
            <w:bookmarkStart w:id="296" w:name="_Toc16297"/>
            <w:bookmarkStart w:id="297" w:name="_Toc499517612"/>
            <w:bookmarkStart w:id="298" w:name="_Toc503800491"/>
            <w:bookmarkStart w:id="299" w:name="_Toc484684368"/>
            <w:r>
              <w:rPr>
                <w:rFonts w:ascii="Times New Roman" w:hAnsi="Times New Roman" w:eastAsia="宋体"/>
                <w:sz w:val="24"/>
                <w:szCs w:val="24"/>
              </w:rPr>
              <w:t>二、施工期噪声污染防治措施</w:t>
            </w:r>
            <w:bookmarkEnd w:id="294"/>
            <w:bookmarkEnd w:id="295"/>
            <w:bookmarkEnd w:id="296"/>
            <w:bookmarkEnd w:id="297"/>
            <w:bookmarkEnd w:id="298"/>
            <w:bookmarkEnd w:id="299"/>
          </w:p>
          <w:p>
            <w:pPr>
              <w:adjustRightInd w:val="0"/>
              <w:snapToGrid w:val="0"/>
              <w:spacing w:line="360" w:lineRule="auto"/>
              <w:ind w:firstLine="482" w:firstLineChars="200"/>
              <w:rPr>
                <w:rFonts w:ascii="Times New Roman" w:hAnsi="Times New Roman" w:eastAsia="宋体" w:cs="Times New Roman"/>
                <w:b/>
                <w:bCs/>
                <w:sz w:val="24"/>
              </w:rPr>
            </w:pPr>
            <w:r>
              <w:rPr>
                <w:rFonts w:ascii="Times New Roman" w:hAnsi="Times New Roman" w:eastAsia="宋体" w:cs="Times New Roman"/>
                <w:b/>
                <w:bCs/>
                <w:sz w:val="24"/>
              </w:rPr>
              <w:t>1、源强分析</w:t>
            </w:r>
          </w:p>
          <w:p>
            <w:pPr>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施工期的噪声主要来源于施工现场的各类机械设备和车辆运输。施工场地噪声主要是施工机械设备噪声、车辆运输噪声、施工人员活动噪声，噪声值在75~90dB(A)之间，将对周围环境产生较大影响。施工机械在作业期间各噪声源产生情况见表4-4。</w:t>
            </w:r>
          </w:p>
          <w:p>
            <w:pPr>
              <w:pStyle w:val="73"/>
              <w:spacing w:beforeLines="0" w:afterLines="0" w:line="240" w:lineRule="auto"/>
              <w:rPr>
                <w:rFonts w:ascii="Times New Roman" w:hAnsi="Times New Roman" w:eastAsia="宋体" w:cs="Times New Roman"/>
                <w:b/>
                <w:sz w:val="21"/>
                <w:szCs w:val="21"/>
              </w:rPr>
            </w:pPr>
            <w:r>
              <w:rPr>
                <w:rFonts w:ascii="Times New Roman" w:hAnsi="Times New Roman" w:eastAsia="宋体" w:cs="Times New Roman"/>
                <w:b/>
                <w:sz w:val="21"/>
                <w:szCs w:val="21"/>
              </w:rPr>
              <w:t>表4-4 施工机械噪声源强一览表</w:t>
            </w:r>
          </w:p>
          <w:tbl>
            <w:tblPr>
              <w:tblStyle w:val="29"/>
              <w:tblW w:w="7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7"/>
              <w:gridCol w:w="2729"/>
              <w:gridCol w:w="3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1637" w:type="dxa"/>
                  <w:vAlign w:val="center"/>
                </w:tcPr>
                <w:p>
                  <w:pPr>
                    <w:pStyle w:val="74"/>
                    <w:jc w:val="center"/>
                    <w:rPr>
                      <w:rFonts w:ascii="Times New Roman" w:hAnsi="Times New Roman"/>
                      <w:b/>
                      <w:kern w:val="2"/>
                    </w:rPr>
                  </w:pPr>
                  <w:r>
                    <w:rPr>
                      <w:rFonts w:ascii="Times New Roman" w:hAnsi="Times New Roman"/>
                      <w:b/>
                      <w:kern w:val="2"/>
                    </w:rPr>
                    <w:t>序号</w:t>
                  </w:r>
                </w:p>
              </w:tc>
              <w:tc>
                <w:tcPr>
                  <w:tcW w:w="2729" w:type="dxa"/>
                  <w:vAlign w:val="center"/>
                </w:tcPr>
                <w:p>
                  <w:pPr>
                    <w:pStyle w:val="74"/>
                    <w:jc w:val="center"/>
                    <w:rPr>
                      <w:rFonts w:ascii="Times New Roman" w:hAnsi="Times New Roman"/>
                      <w:b/>
                      <w:kern w:val="2"/>
                    </w:rPr>
                  </w:pPr>
                  <w:r>
                    <w:rPr>
                      <w:rFonts w:ascii="Times New Roman" w:hAnsi="Times New Roman"/>
                      <w:b/>
                      <w:kern w:val="2"/>
                    </w:rPr>
                    <w:t>机械名称</w:t>
                  </w:r>
                </w:p>
              </w:tc>
              <w:tc>
                <w:tcPr>
                  <w:tcW w:w="3192" w:type="dxa"/>
                  <w:vAlign w:val="center"/>
                </w:tcPr>
                <w:p>
                  <w:pPr>
                    <w:pStyle w:val="74"/>
                    <w:jc w:val="center"/>
                    <w:rPr>
                      <w:rFonts w:ascii="Times New Roman" w:hAnsi="Times New Roman"/>
                      <w:b/>
                      <w:kern w:val="2"/>
                    </w:rPr>
                  </w:pPr>
                  <w:r>
                    <w:rPr>
                      <w:rFonts w:ascii="Times New Roman" w:hAnsi="Times New Roman"/>
                      <w:b/>
                      <w:kern w:val="2"/>
                    </w:rPr>
                    <w:t>噪声值/</w:t>
                  </w:r>
                  <w:r>
                    <w:rPr>
                      <w:rFonts w:ascii="Times New Roman" w:hAnsi="Times New Roman"/>
                      <w:b/>
                    </w:rPr>
                    <w:t>〔dB（A）〕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37" w:type="dxa"/>
                  <w:vAlign w:val="center"/>
                </w:tcPr>
                <w:p>
                  <w:pPr>
                    <w:pStyle w:val="74"/>
                    <w:jc w:val="center"/>
                    <w:rPr>
                      <w:rFonts w:ascii="Times New Roman" w:hAnsi="Times New Roman"/>
                      <w:kern w:val="2"/>
                    </w:rPr>
                  </w:pPr>
                  <w:r>
                    <w:rPr>
                      <w:rFonts w:ascii="Times New Roman" w:hAnsi="Times New Roman"/>
                      <w:kern w:val="2"/>
                    </w:rPr>
                    <w:t>1</w:t>
                  </w:r>
                </w:p>
              </w:tc>
              <w:tc>
                <w:tcPr>
                  <w:tcW w:w="2729" w:type="dxa"/>
                  <w:vAlign w:val="center"/>
                </w:tcPr>
                <w:p>
                  <w:pPr>
                    <w:pStyle w:val="74"/>
                    <w:jc w:val="center"/>
                    <w:rPr>
                      <w:rFonts w:ascii="Times New Roman" w:hAnsi="Times New Roman"/>
                      <w:kern w:val="2"/>
                    </w:rPr>
                  </w:pPr>
                  <w:r>
                    <w:rPr>
                      <w:rFonts w:ascii="Times New Roman" w:hAnsi="Times New Roman"/>
                      <w:kern w:val="2"/>
                    </w:rPr>
                    <w:t>装载机</w:t>
                  </w:r>
                </w:p>
              </w:tc>
              <w:tc>
                <w:tcPr>
                  <w:tcW w:w="3192" w:type="dxa"/>
                  <w:vAlign w:val="center"/>
                </w:tcPr>
                <w:p>
                  <w:pPr>
                    <w:pStyle w:val="74"/>
                    <w:jc w:val="center"/>
                    <w:rPr>
                      <w:rFonts w:ascii="Times New Roman" w:hAnsi="Times New Roman"/>
                      <w:kern w:val="2"/>
                    </w:rPr>
                  </w:pPr>
                  <w:r>
                    <w:rPr>
                      <w:rFonts w:ascii="Times New Roman" w:hAnsi="Times New Roman"/>
                      <w:kern w:val="2"/>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37" w:type="dxa"/>
                  <w:vAlign w:val="center"/>
                </w:tcPr>
                <w:p>
                  <w:pPr>
                    <w:pStyle w:val="74"/>
                    <w:jc w:val="center"/>
                    <w:rPr>
                      <w:rFonts w:ascii="Times New Roman" w:hAnsi="Times New Roman"/>
                      <w:kern w:val="2"/>
                    </w:rPr>
                  </w:pPr>
                  <w:r>
                    <w:rPr>
                      <w:rFonts w:ascii="Times New Roman" w:hAnsi="Times New Roman"/>
                      <w:kern w:val="2"/>
                    </w:rPr>
                    <w:t>2</w:t>
                  </w:r>
                </w:p>
              </w:tc>
              <w:tc>
                <w:tcPr>
                  <w:tcW w:w="2729" w:type="dxa"/>
                  <w:vAlign w:val="center"/>
                </w:tcPr>
                <w:p>
                  <w:pPr>
                    <w:pStyle w:val="74"/>
                    <w:jc w:val="center"/>
                    <w:rPr>
                      <w:rFonts w:ascii="Times New Roman" w:hAnsi="Times New Roman"/>
                      <w:kern w:val="2"/>
                    </w:rPr>
                  </w:pPr>
                  <w:r>
                    <w:rPr>
                      <w:rFonts w:ascii="Times New Roman" w:hAnsi="Times New Roman"/>
                      <w:kern w:val="2"/>
                    </w:rPr>
                    <w:t>运输车辆</w:t>
                  </w:r>
                </w:p>
              </w:tc>
              <w:tc>
                <w:tcPr>
                  <w:tcW w:w="3192" w:type="dxa"/>
                  <w:vAlign w:val="center"/>
                </w:tcPr>
                <w:p>
                  <w:pPr>
                    <w:pStyle w:val="74"/>
                    <w:jc w:val="center"/>
                    <w:rPr>
                      <w:rFonts w:ascii="Times New Roman" w:hAnsi="Times New Roman"/>
                      <w:kern w:val="2"/>
                    </w:rPr>
                  </w:pPr>
                  <w:r>
                    <w:rPr>
                      <w:rFonts w:ascii="Times New Roman" w:hAnsi="Times New Roman"/>
                      <w:kern w:val="2"/>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37" w:type="dxa"/>
                  <w:vAlign w:val="center"/>
                </w:tcPr>
                <w:p>
                  <w:pPr>
                    <w:pStyle w:val="74"/>
                    <w:jc w:val="center"/>
                    <w:rPr>
                      <w:rFonts w:ascii="Times New Roman" w:hAnsi="Times New Roman"/>
                      <w:kern w:val="2"/>
                    </w:rPr>
                  </w:pPr>
                  <w:r>
                    <w:rPr>
                      <w:rFonts w:ascii="Times New Roman" w:hAnsi="Times New Roman"/>
                      <w:kern w:val="2"/>
                    </w:rPr>
                    <w:t>3</w:t>
                  </w:r>
                </w:p>
              </w:tc>
              <w:tc>
                <w:tcPr>
                  <w:tcW w:w="2729" w:type="dxa"/>
                  <w:vAlign w:val="center"/>
                </w:tcPr>
                <w:p>
                  <w:pPr>
                    <w:pStyle w:val="74"/>
                    <w:jc w:val="center"/>
                    <w:rPr>
                      <w:rFonts w:ascii="Times New Roman" w:hAnsi="Times New Roman"/>
                      <w:kern w:val="2"/>
                    </w:rPr>
                  </w:pPr>
                  <w:r>
                    <w:rPr>
                      <w:rFonts w:ascii="Times New Roman" w:hAnsi="Times New Roman"/>
                    </w:rPr>
                    <w:t>打孔器</w:t>
                  </w:r>
                </w:p>
              </w:tc>
              <w:tc>
                <w:tcPr>
                  <w:tcW w:w="3192" w:type="dxa"/>
                  <w:vAlign w:val="center"/>
                </w:tcPr>
                <w:p>
                  <w:pPr>
                    <w:pStyle w:val="74"/>
                    <w:jc w:val="center"/>
                    <w:rPr>
                      <w:rFonts w:ascii="Times New Roman" w:hAnsi="Times New Roman"/>
                      <w:kern w:val="2"/>
                    </w:rPr>
                  </w:pPr>
                  <w:r>
                    <w:rPr>
                      <w:rFonts w:ascii="Times New Roman" w:hAnsi="Times New Roman"/>
                      <w:kern w:val="2"/>
                    </w:rPr>
                    <w:t>75</w:t>
                  </w:r>
                </w:p>
              </w:tc>
            </w:tr>
          </w:tbl>
          <w:p>
            <w:pPr>
              <w:spacing w:line="360" w:lineRule="auto"/>
              <w:ind w:firstLine="480" w:firstLineChars="200"/>
              <w:rPr>
                <w:rFonts w:ascii="Times New Roman" w:hAnsi="Times New Roman" w:eastAsia="宋体" w:cs="Times New Roman"/>
                <w:sz w:val="24"/>
                <w:szCs w:val="28"/>
              </w:rPr>
            </w:pPr>
            <w:r>
              <w:rPr>
                <w:rFonts w:ascii="Times New Roman" w:hAnsi="Times New Roman" w:eastAsia="宋体" w:cs="Times New Roman"/>
                <w:sz w:val="24"/>
                <w:lang w:val="zh-CN"/>
              </w:rPr>
              <w:t>施工期的噪声影响是短暂的、不确定性的，产生的噪声经空气衰减及建筑隔声后能满足《建筑施工场界环境噪声排放标准》（GB12523-2011）标准</w:t>
            </w:r>
            <w:r>
              <w:rPr>
                <w:rFonts w:ascii="Times New Roman" w:hAnsi="Times New Roman" w:eastAsia="宋体" w:cs="Times New Roman"/>
                <w:sz w:val="24"/>
              </w:rPr>
              <w:t>，对环境影响较小，</w:t>
            </w:r>
            <w:r>
              <w:rPr>
                <w:rFonts w:ascii="Times New Roman" w:hAnsi="Times New Roman" w:eastAsia="宋体" w:cs="Times New Roman"/>
                <w:sz w:val="24"/>
                <w:lang w:val="zh-CN"/>
              </w:rPr>
              <w:t>项目建成后，施工期噪声的影响也随之消失。</w:t>
            </w:r>
            <w:r>
              <w:rPr>
                <w:rFonts w:ascii="Times New Roman" w:hAnsi="Times New Roman" w:eastAsia="宋体" w:cs="Times New Roman"/>
                <w:sz w:val="24"/>
              </w:rPr>
              <w:t>本项目夜间不施工。</w:t>
            </w:r>
          </w:p>
          <w:p>
            <w:pPr>
              <w:adjustRightInd w:val="0"/>
              <w:snapToGrid w:val="0"/>
              <w:spacing w:line="360" w:lineRule="auto"/>
              <w:ind w:firstLine="482" w:firstLineChars="200"/>
              <w:rPr>
                <w:rFonts w:ascii="Times New Roman" w:hAnsi="Times New Roman" w:eastAsia="宋体" w:cs="Times New Roman"/>
                <w:b/>
                <w:bCs/>
                <w:sz w:val="24"/>
              </w:rPr>
            </w:pPr>
            <w:r>
              <w:rPr>
                <w:rFonts w:ascii="Times New Roman" w:hAnsi="Times New Roman" w:eastAsia="宋体" w:cs="Times New Roman"/>
                <w:b/>
                <w:bCs/>
                <w:sz w:val="24"/>
              </w:rPr>
              <w:t>2、防治措施</w:t>
            </w:r>
          </w:p>
          <w:p>
            <w:pPr>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在施工过程中，施工单位应采用低噪声的施工机械，减少同时作业的高噪声施工机械数量，尽可能减轻声源叠加影响；同时应严格执行《建筑施工场界环境噪声排放标准》（GB12523—2011）的规定，避免和减少施工扰民事件的发生。由于项目周围敏感点距离较近，要求施工单位应合理安排施工作业时间，禁止夜间施工。针对施工期噪声影响，拟采取的污染防治措施如下：</w:t>
            </w:r>
          </w:p>
          <w:p>
            <w:pPr>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（1）选用低噪声设备，并加强检修与维护，使之始终处于良好的工作状态。运输车辆等进出场地应限速、禁鸣；并要求施工人员严格规范操作施工机械。</w:t>
            </w:r>
          </w:p>
          <w:p>
            <w:pPr>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（2）合理安排施工时间，避免强噪声设备同时施工，持续作业；施工阶段均安排在白天进行，夜间禁止进行施工作业。</w:t>
            </w:r>
          </w:p>
          <w:p>
            <w:pPr>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（3）合理布置施工场地，根据周围环境条件，将产噪设备布置于项目区中部，增加噪声源与敏感点的距离。</w:t>
            </w:r>
          </w:p>
          <w:p>
            <w:pPr>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（4）降低人为噪声，机械设备、模板、支架等在装卸过程中，应避免碰撞，以减少噪声的产生；不用哨子指挥作业。</w:t>
            </w:r>
          </w:p>
          <w:p>
            <w:pPr>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（5）为减少施工噪声的影响，施工场地四周建2m高的围墙，并在施工结构阶段和装修阶段对建筑物外部也应采取围挡，以减轻设备噪声对周围环境的影响。</w:t>
            </w:r>
          </w:p>
          <w:p>
            <w:pPr>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（6）减少交通噪声，进出车辆和经过敏感点的车辆应限速、禁鸣。</w:t>
            </w:r>
          </w:p>
          <w:p>
            <w:pPr>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（7）对施工人员采取相应的劳动保护措施，按规定，施工人员连续接触噪声不得超过8h，定时轮换岗位，在噪声源集中的施工点，施工人员须佩戴耳塞，以减少噪声对人体的危害。</w:t>
            </w:r>
          </w:p>
          <w:p>
            <w:pPr>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本评价认为上述措施能有效地减小施工噪声，噪声污染能降低到可接受的水平。</w:t>
            </w:r>
          </w:p>
          <w:p>
            <w:pPr>
              <w:pStyle w:val="4"/>
              <w:adjustRightInd w:val="0"/>
              <w:snapToGrid w:val="0"/>
              <w:spacing w:before="0" w:after="0" w:line="360" w:lineRule="auto"/>
              <w:ind w:left="576" w:hanging="576"/>
              <w:outlineLvl w:val="2"/>
              <w:rPr>
                <w:rFonts w:ascii="Times New Roman" w:hAnsi="Times New Roman" w:eastAsia="宋体"/>
                <w:sz w:val="24"/>
                <w:szCs w:val="24"/>
              </w:rPr>
            </w:pPr>
            <w:bookmarkStart w:id="300" w:name="_Toc489351228"/>
            <w:bookmarkStart w:id="301" w:name="_Toc491201909"/>
            <w:bookmarkStart w:id="302" w:name="_Toc484684369"/>
            <w:bookmarkStart w:id="303" w:name="_Toc503800492"/>
            <w:bookmarkStart w:id="304" w:name="_Toc12293"/>
            <w:bookmarkStart w:id="305" w:name="_Toc499517613"/>
            <w:r>
              <w:rPr>
                <w:rFonts w:ascii="Times New Roman" w:hAnsi="Times New Roman" w:eastAsia="宋体"/>
                <w:sz w:val="24"/>
                <w:szCs w:val="24"/>
              </w:rPr>
              <w:t>三、施工期固体废物防治措施</w:t>
            </w:r>
            <w:bookmarkEnd w:id="300"/>
            <w:bookmarkEnd w:id="301"/>
            <w:bookmarkEnd w:id="302"/>
            <w:bookmarkEnd w:id="303"/>
            <w:bookmarkEnd w:id="304"/>
            <w:bookmarkEnd w:id="305"/>
          </w:p>
          <w:p>
            <w:pPr>
              <w:adjustRightInd w:val="0"/>
              <w:snapToGrid w:val="0"/>
              <w:spacing w:line="360" w:lineRule="auto"/>
              <w:ind w:firstLine="482" w:firstLineChars="200"/>
              <w:rPr>
                <w:rFonts w:ascii="Times New Roman" w:hAnsi="Times New Roman" w:eastAsia="宋体" w:cs="Times New Roman"/>
                <w:b/>
                <w:bCs/>
                <w:sz w:val="24"/>
              </w:rPr>
            </w:pPr>
            <w:r>
              <w:rPr>
                <w:rFonts w:ascii="Times New Roman" w:hAnsi="Times New Roman" w:eastAsia="宋体" w:cs="Times New Roman"/>
                <w:b/>
                <w:bCs/>
                <w:sz w:val="24"/>
              </w:rPr>
              <w:t>1、源强分析</w:t>
            </w:r>
          </w:p>
          <w:p>
            <w:pPr>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项目施工期固体废物主要为生活垃圾、建筑装修垃圾。</w:t>
            </w:r>
          </w:p>
          <w:p>
            <w:pPr>
              <w:adjustRightInd w:val="0"/>
              <w:snapToGrid w:val="0"/>
              <w:spacing w:line="360" w:lineRule="auto"/>
              <w:ind w:firstLine="482" w:firstLineChars="200"/>
              <w:rPr>
                <w:rFonts w:ascii="Times New Roman" w:hAnsi="Times New Roman" w:eastAsia="宋体" w:cs="Times New Roman"/>
                <w:sz w:val="24"/>
              </w:rPr>
            </w:pPr>
            <w:r>
              <w:rPr>
                <w:rFonts w:ascii="Times New Roman" w:hAnsi="Times New Roman" w:eastAsia="宋体" w:cs="Times New Roman"/>
                <w:b/>
                <w:sz w:val="24"/>
              </w:rPr>
              <w:t>（1）生活垃圾</w:t>
            </w:r>
          </w:p>
          <w:p>
            <w:pPr>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施工人员主要为周边村民，不在项目区食宿，施工现场平均每天10人施工，按每人每天产生垃圾量0.5kg计算，施工人员产生的生活垃圾约为5kg/d，本项目施工期为</w:t>
            </w:r>
            <w:r>
              <w:rPr>
                <w:rFonts w:hint="eastAsia" w:ascii="Times New Roman" w:hAnsi="Times New Roman" w:eastAsia="宋体" w:cs="Times New Roman"/>
                <w:sz w:val="24"/>
              </w:rPr>
              <w:t>150</w:t>
            </w:r>
            <w:r>
              <w:rPr>
                <w:rFonts w:ascii="Times New Roman" w:hAnsi="Times New Roman" w:eastAsia="宋体" w:cs="Times New Roman"/>
                <w:sz w:val="24"/>
              </w:rPr>
              <w:t>天，施工人员产生的生活垃圾约为</w:t>
            </w:r>
            <w:r>
              <w:rPr>
                <w:rFonts w:hint="eastAsia" w:ascii="Times New Roman" w:hAnsi="Times New Roman" w:eastAsia="宋体" w:cs="Times New Roman"/>
                <w:sz w:val="24"/>
              </w:rPr>
              <w:t>0.75</w:t>
            </w:r>
            <w:r>
              <w:rPr>
                <w:rFonts w:ascii="Times New Roman" w:hAnsi="Times New Roman" w:eastAsia="宋体" w:cs="Times New Roman"/>
                <w:sz w:val="24"/>
              </w:rPr>
              <w:t>t。施工现场设有生活垃圾收集点，施工人员生活垃圾经统一收集后委托环卫部门清运处置。</w:t>
            </w:r>
          </w:p>
          <w:p>
            <w:pPr>
              <w:tabs>
                <w:tab w:val="left" w:pos="425"/>
              </w:tabs>
              <w:adjustRightInd w:val="0"/>
              <w:snapToGrid w:val="0"/>
              <w:spacing w:line="360" w:lineRule="auto"/>
              <w:ind w:firstLine="482" w:firstLineChars="200"/>
              <w:rPr>
                <w:rFonts w:ascii="Times New Roman" w:hAnsi="Times New Roman" w:eastAsia="宋体" w:cs="Times New Roman"/>
                <w:b/>
                <w:sz w:val="24"/>
              </w:rPr>
            </w:pPr>
            <w:r>
              <w:rPr>
                <w:rFonts w:ascii="Times New Roman" w:hAnsi="Times New Roman" w:eastAsia="宋体" w:cs="Times New Roman"/>
                <w:b/>
                <w:sz w:val="24"/>
              </w:rPr>
              <w:t>（2）建筑装修垃圾</w:t>
            </w:r>
          </w:p>
          <w:p>
            <w:pPr>
              <w:pStyle w:val="11"/>
              <w:adjustRightInd w:val="0"/>
              <w:snapToGrid w:val="0"/>
              <w:spacing w:line="360" w:lineRule="auto"/>
              <w:ind w:firstLine="470" w:firstLineChars="196"/>
              <w:rPr>
                <w:rFonts w:ascii="Times New Roman" w:hAnsi="Times New Roman" w:eastAsia="宋体" w:cs="Times New Roman"/>
                <w:lang w:bidi="ar"/>
              </w:rPr>
            </w:pPr>
            <w:r>
              <w:rPr>
                <w:rFonts w:ascii="Times New Roman" w:hAnsi="Times New Roman" w:eastAsia="宋体" w:cs="Times New Roman"/>
                <w:lang w:bidi="ar"/>
              </w:rPr>
              <w:t>项目基础建设过程中，建筑垃圾按0.002t/m</w:t>
            </w:r>
            <w:r>
              <w:rPr>
                <w:rFonts w:ascii="Times New Roman" w:hAnsi="Times New Roman" w:eastAsia="宋体" w:cs="Times New Roman"/>
                <w:vertAlign w:val="superscript"/>
                <w:lang w:bidi="ar"/>
              </w:rPr>
              <w:t>2</w:t>
            </w:r>
            <w:r>
              <w:rPr>
                <w:rFonts w:ascii="Times New Roman" w:hAnsi="Times New Roman" w:eastAsia="宋体" w:cs="Times New Roman"/>
                <w:lang w:bidi="ar"/>
              </w:rPr>
              <w:t>，项目总建筑面积</w:t>
            </w:r>
            <w:r>
              <w:rPr>
                <w:rFonts w:ascii="Times New Roman" w:hAnsi="Times New Roman" w:eastAsia="宋体" w:cs="Times New Roman"/>
                <w:kern w:val="0"/>
                <w:lang w:bidi="ar"/>
              </w:rPr>
              <w:t>3100</w:t>
            </w:r>
            <w:r>
              <w:rPr>
                <w:rFonts w:ascii="Times New Roman" w:hAnsi="Times New Roman" w:eastAsia="宋体" w:cs="Times New Roman"/>
                <w:lang w:bidi="ar"/>
              </w:rPr>
              <w:t>m</w:t>
            </w:r>
            <w:r>
              <w:rPr>
                <w:rFonts w:ascii="Times New Roman" w:hAnsi="Times New Roman" w:eastAsia="宋体" w:cs="Times New Roman"/>
                <w:vertAlign w:val="superscript"/>
                <w:lang w:bidi="ar"/>
              </w:rPr>
              <w:t>2</w:t>
            </w:r>
            <w:r>
              <w:rPr>
                <w:rFonts w:ascii="Times New Roman" w:hAnsi="Times New Roman" w:eastAsia="宋体" w:cs="Times New Roman"/>
                <w:lang w:bidi="ar"/>
              </w:rPr>
              <w:t>，则施工建筑垃圾产生量为6.2t。能回收利用的进行回收利用，将不可利用的建筑垃圾按住建部门要求处置。</w:t>
            </w:r>
          </w:p>
          <w:p>
            <w:pPr>
              <w:pStyle w:val="11"/>
              <w:adjustRightInd w:val="0"/>
              <w:snapToGrid w:val="0"/>
              <w:spacing w:line="360" w:lineRule="auto"/>
              <w:ind w:firstLine="482" w:firstLineChars="200"/>
              <w:rPr>
                <w:rFonts w:ascii="Times New Roman" w:hAnsi="Times New Roman" w:eastAsia="宋体" w:cs="Times New Roman"/>
                <w:b/>
              </w:rPr>
            </w:pPr>
            <w:r>
              <w:rPr>
                <w:rFonts w:hint="eastAsia" w:ascii="Times New Roman" w:hAnsi="Times New Roman" w:eastAsia="宋体" w:cs="Times New Roman"/>
                <w:b/>
              </w:rPr>
              <w:t>（3）土石方</w:t>
            </w:r>
          </w:p>
          <w:p>
            <w:pPr>
              <w:pStyle w:val="11"/>
              <w:adjustRightInd w:val="0"/>
              <w:snapToGrid w:val="0"/>
              <w:spacing w:line="360" w:lineRule="auto"/>
              <w:ind w:firstLine="470" w:firstLineChars="196"/>
              <w:rPr>
                <w:rFonts w:ascii="Times New Roman" w:hAnsi="Times New Roman" w:eastAsia="宋体" w:cs="Times New Roman"/>
                <w:lang w:bidi="ar"/>
              </w:rPr>
            </w:pPr>
            <w:r>
              <w:rPr>
                <w:rFonts w:hint="eastAsia" w:ascii="Times New Roman" w:hAnsi="Times New Roman" w:eastAsia="宋体" w:cs="Times New Roman"/>
                <w:lang w:bidi="ar"/>
              </w:rPr>
              <w:t>根据现场调查，地块内场地较为平整，无需大面积开挖，本</w:t>
            </w:r>
            <w:r>
              <w:rPr>
                <w:rFonts w:hint="eastAsia" w:ascii="Times New Roman" w:hAnsi="Times New Roman" w:eastAsia="宋体" w:cs="Times New Roman"/>
                <w:lang w:eastAsia="zh-CN" w:bidi="ar"/>
              </w:rPr>
              <w:t>项目</w:t>
            </w:r>
            <w:r>
              <w:rPr>
                <w:rFonts w:ascii="Times New Roman" w:hAnsi="Times New Roman" w:cs="Times New Roman"/>
              </w:rPr>
              <w:t>土石方量</w:t>
            </w:r>
            <w:r>
              <w:rPr>
                <w:rFonts w:hint="eastAsia" w:ascii="Times New Roman" w:hAnsi="Times New Roman" w:cs="Times New Roman"/>
              </w:rPr>
              <w:t>600</w:t>
            </w:r>
            <w:r>
              <w:rPr>
                <w:rFonts w:ascii="Times New Roman" w:hAnsi="Times New Roman" w:cs="Times New Roman"/>
              </w:rPr>
              <w:t>m</w:t>
            </w:r>
            <w:r>
              <w:rPr>
                <w:rFonts w:ascii="Times New Roman" w:hAnsi="Times New Roman" w:cs="Times New Roman"/>
                <w:vertAlign w:val="superscript"/>
              </w:rPr>
              <w:t>3</w:t>
            </w:r>
            <w:r>
              <w:rPr>
                <w:rFonts w:ascii="Times New Roman" w:hAnsi="Times New Roman" w:cs="Times New Roman"/>
              </w:rPr>
              <w:t>（包括挖土方量</w:t>
            </w:r>
            <w:r>
              <w:rPr>
                <w:rFonts w:hint="eastAsia" w:ascii="Times New Roman" w:hAnsi="Times New Roman" w:cs="Times New Roman"/>
              </w:rPr>
              <w:t>300</w:t>
            </w:r>
            <w:r>
              <w:rPr>
                <w:rFonts w:ascii="Times New Roman" w:hAnsi="Times New Roman" w:cs="Times New Roman"/>
              </w:rPr>
              <w:t>m</w:t>
            </w:r>
            <w:r>
              <w:rPr>
                <w:rFonts w:ascii="Times New Roman" w:hAnsi="Times New Roman" w:cs="Times New Roman"/>
                <w:vertAlign w:val="superscript"/>
              </w:rPr>
              <w:t>3</w:t>
            </w:r>
            <w:r>
              <w:rPr>
                <w:rFonts w:ascii="Times New Roman" w:hAnsi="Times New Roman" w:cs="Times New Roman"/>
              </w:rPr>
              <w:t>，挖石方量</w:t>
            </w:r>
            <w:r>
              <w:rPr>
                <w:rFonts w:hint="eastAsia" w:ascii="Times New Roman" w:hAnsi="Times New Roman" w:cs="Times New Roman"/>
              </w:rPr>
              <w:t>200</w:t>
            </w:r>
            <w:r>
              <w:rPr>
                <w:rFonts w:ascii="Times New Roman" w:hAnsi="Times New Roman" w:cs="Times New Roman"/>
              </w:rPr>
              <w:t>m</w:t>
            </w:r>
            <w:r>
              <w:rPr>
                <w:rFonts w:ascii="Times New Roman" w:hAnsi="Times New Roman" w:cs="Times New Roman"/>
                <w:vertAlign w:val="superscript"/>
              </w:rPr>
              <w:t>3</w:t>
            </w:r>
            <w:r>
              <w:rPr>
                <w:rFonts w:ascii="Times New Roman" w:hAnsi="Times New Roman" w:cs="Times New Roman"/>
              </w:rPr>
              <w:t>，清表量</w:t>
            </w:r>
            <w:r>
              <w:rPr>
                <w:rFonts w:hint="eastAsia" w:ascii="Times New Roman" w:hAnsi="Times New Roman" w:cs="Times New Roman"/>
              </w:rPr>
              <w:t>100</w:t>
            </w:r>
            <w:r>
              <w:rPr>
                <w:rFonts w:ascii="Times New Roman" w:hAnsi="Times New Roman" w:cs="Times New Roman"/>
              </w:rPr>
              <w:t>m</w:t>
            </w:r>
            <w:r>
              <w:rPr>
                <w:rFonts w:ascii="Times New Roman" w:hAnsi="Times New Roman" w:cs="Times New Roman"/>
                <w:vertAlign w:val="superscript"/>
              </w:rPr>
              <w:t>3</w:t>
            </w:r>
            <w:r>
              <w:rPr>
                <w:rFonts w:ascii="Times New Roman" w:hAnsi="Times New Roman" w:cs="Times New Roman"/>
              </w:rPr>
              <w:t>），回填土石方量</w:t>
            </w:r>
            <w:r>
              <w:rPr>
                <w:rFonts w:hint="eastAsia" w:ascii="Times New Roman" w:hAnsi="Times New Roman" w:cs="Times New Roman"/>
              </w:rPr>
              <w:t>500</w:t>
            </w:r>
            <w:r>
              <w:rPr>
                <w:rFonts w:ascii="Times New Roman" w:hAnsi="Times New Roman" w:cs="Times New Roman"/>
              </w:rPr>
              <w:t>m</w:t>
            </w:r>
            <w:r>
              <w:rPr>
                <w:rFonts w:ascii="Times New Roman" w:hAnsi="Times New Roman" w:cs="Times New Roman"/>
                <w:vertAlign w:val="superscript"/>
              </w:rPr>
              <w:t>3</w:t>
            </w:r>
            <w:r>
              <w:rPr>
                <w:rFonts w:ascii="Times New Roman" w:hAnsi="Times New Roman" w:cs="Times New Roman"/>
              </w:rPr>
              <w:t>，绿化覆土</w:t>
            </w:r>
            <w:r>
              <w:rPr>
                <w:rFonts w:hint="eastAsia" w:ascii="Times New Roman" w:hAnsi="Times New Roman" w:cs="Times New Roman"/>
              </w:rPr>
              <w:t>100</w:t>
            </w:r>
            <w:r>
              <w:rPr>
                <w:rFonts w:ascii="Times New Roman" w:hAnsi="Times New Roman" w:cs="Times New Roman"/>
              </w:rPr>
              <w:t>m</w:t>
            </w:r>
            <w:r>
              <w:rPr>
                <w:rFonts w:ascii="Times New Roman" w:hAnsi="Times New Roman" w:cs="Times New Roman"/>
                <w:vertAlign w:val="superscript"/>
              </w:rPr>
              <w:t>3</w:t>
            </w:r>
            <w:r>
              <w:rPr>
                <w:rFonts w:ascii="Times New Roman" w:hAnsi="Times New Roman" w:cs="Times New Roman"/>
              </w:rPr>
              <w:t>，</w:t>
            </w:r>
            <w:r>
              <w:rPr>
                <w:rFonts w:hint="eastAsia" w:ascii="Times New Roman" w:hAnsi="Times New Roman" w:cs="Times New Roman"/>
              </w:rPr>
              <w:t>挖填平衡，无弃渣产生</w:t>
            </w:r>
            <w:r>
              <w:rPr>
                <w:rFonts w:ascii="Times New Roman" w:hAnsi="Times New Roman" w:cs="Times New Roman"/>
              </w:rPr>
              <w:t>。</w:t>
            </w:r>
          </w:p>
          <w:p>
            <w:pPr>
              <w:pStyle w:val="11"/>
              <w:adjustRightInd w:val="0"/>
              <w:snapToGrid w:val="0"/>
              <w:spacing w:line="360" w:lineRule="auto"/>
              <w:ind w:firstLine="472" w:firstLineChars="196"/>
              <w:rPr>
                <w:rFonts w:ascii="Times New Roman" w:hAnsi="Times New Roman" w:eastAsia="宋体" w:cs="Times New Roman"/>
                <w:b/>
                <w:bCs/>
              </w:rPr>
            </w:pPr>
            <w:r>
              <w:rPr>
                <w:rFonts w:ascii="Times New Roman" w:hAnsi="Times New Roman" w:eastAsia="宋体" w:cs="Times New Roman"/>
                <w:b/>
                <w:bCs/>
              </w:rPr>
              <w:t>2、防治措施</w:t>
            </w:r>
          </w:p>
          <w:p>
            <w:pPr>
              <w:pStyle w:val="11"/>
              <w:adjustRightInd w:val="0"/>
              <w:snapToGrid w:val="0"/>
              <w:spacing w:line="360" w:lineRule="auto"/>
              <w:ind w:firstLine="472" w:firstLineChars="196"/>
              <w:rPr>
                <w:rFonts w:ascii="Times New Roman" w:hAnsi="Times New Roman" w:eastAsia="宋体" w:cs="Times New Roman"/>
                <w:b/>
                <w:bCs/>
              </w:rPr>
            </w:pPr>
            <w:r>
              <w:rPr>
                <w:rFonts w:ascii="Times New Roman" w:hAnsi="Times New Roman" w:eastAsia="宋体" w:cs="Times New Roman"/>
                <w:b/>
              </w:rPr>
              <w:t>（1）</w:t>
            </w:r>
            <w:r>
              <w:rPr>
                <w:rFonts w:ascii="Times New Roman" w:hAnsi="Times New Roman" w:eastAsia="宋体" w:cs="Times New Roman"/>
                <w:b/>
                <w:bCs/>
              </w:rPr>
              <w:t>生活垃圾</w:t>
            </w:r>
          </w:p>
          <w:p>
            <w:pPr>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生活垃圾应妥善处置，减少雨水冲刷造成地表污染，并保持工区环境的洁净卫生。生活垃圾通过垃圾收集桶收集后委托环卫部门清运处置。</w:t>
            </w:r>
          </w:p>
          <w:p>
            <w:pPr>
              <w:pStyle w:val="11"/>
              <w:adjustRightInd w:val="0"/>
              <w:snapToGrid w:val="0"/>
              <w:spacing w:line="360" w:lineRule="auto"/>
              <w:ind w:firstLine="472" w:firstLineChars="196"/>
              <w:rPr>
                <w:rFonts w:ascii="Times New Roman" w:hAnsi="Times New Roman" w:eastAsia="宋体" w:cs="Times New Roman"/>
                <w:b/>
                <w:bCs/>
              </w:rPr>
            </w:pPr>
            <w:r>
              <w:rPr>
                <w:rFonts w:ascii="Times New Roman" w:hAnsi="Times New Roman" w:eastAsia="宋体" w:cs="Times New Roman"/>
                <w:b/>
              </w:rPr>
              <w:t>（2）</w:t>
            </w:r>
            <w:r>
              <w:rPr>
                <w:rFonts w:ascii="Times New Roman" w:hAnsi="Times New Roman" w:eastAsia="宋体" w:cs="Times New Roman"/>
                <w:b/>
                <w:bCs/>
              </w:rPr>
              <w:t>建筑装修垃圾</w:t>
            </w:r>
          </w:p>
          <w:p>
            <w:pPr>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建筑修改垃圾中能回收利用的进行回收利用，将不可利用的建筑装修垃圾按住建部门要求处置。</w:t>
            </w:r>
          </w:p>
          <w:p>
            <w:pPr>
              <w:adjustRightInd w:val="0"/>
              <w:snapToGrid w:val="0"/>
              <w:spacing w:line="360" w:lineRule="auto"/>
              <w:ind w:firstLine="482" w:firstLineChars="200"/>
              <w:rPr>
                <w:rFonts w:ascii="Times New Roman" w:hAnsi="Times New Roman" w:eastAsia="宋体" w:cs="Times New Roman"/>
                <w:b/>
                <w:bCs/>
                <w:sz w:val="24"/>
              </w:rPr>
            </w:pPr>
            <w:r>
              <w:rPr>
                <w:rFonts w:hint="eastAsia" w:ascii="Times New Roman" w:hAnsi="Times New Roman" w:eastAsia="宋体" w:cs="Times New Roman"/>
                <w:b/>
                <w:bCs/>
                <w:sz w:val="24"/>
              </w:rPr>
              <w:t>（3）土石方</w:t>
            </w:r>
          </w:p>
          <w:p>
            <w:pPr>
              <w:adjustRightInd w:val="0"/>
              <w:snapToGrid w:val="0"/>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挖填平衡，无弃渣产生。</w:t>
            </w:r>
          </w:p>
          <w:p>
            <w:pPr>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综上，采取以上措施后固废对环境影响较小。</w:t>
            </w:r>
          </w:p>
          <w:p>
            <w:pPr>
              <w:pStyle w:val="4"/>
              <w:adjustRightInd w:val="0"/>
              <w:snapToGrid w:val="0"/>
              <w:spacing w:before="0" w:after="0" w:line="360" w:lineRule="auto"/>
              <w:ind w:left="576" w:hanging="576"/>
              <w:outlineLvl w:val="2"/>
              <w:rPr>
                <w:rFonts w:ascii="Times New Roman" w:hAnsi="Times New Roman" w:eastAsia="宋体"/>
                <w:sz w:val="24"/>
                <w:szCs w:val="24"/>
              </w:rPr>
            </w:pPr>
            <w:bookmarkStart w:id="306" w:name="_Toc491201910"/>
            <w:bookmarkStart w:id="307" w:name="_Toc503800493"/>
            <w:bookmarkStart w:id="308" w:name="_Toc499517614"/>
            <w:bookmarkStart w:id="309" w:name="_Toc15436"/>
            <w:bookmarkStart w:id="310" w:name="_Toc489351229"/>
            <w:bookmarkStart w:id="311" w:name="_Toc484684370"/>
            <w:r>
              <w:rPr>
                <w:rFonts w:ascii="Times New Roman" w:hAnsi="Times New Roman" w:eastAsia="宋体"/>
                <w:sz w:val="24"/>
                <w:szCs w:val="24"/>
              </w:rPr>
              <w:t>四、施工期水污染防治措施</w:t>
            </w:r>
            <w:bookmarkEnd w:id="306"/>
            <w:bookmarkEnd w:id="307"/>
            <w:bookmarkEnd w:id="308"/>
            <w:bookmarkEnd w:id="309"/>
            <w:bookmarkEnd w:id="310"/>
            <w:bookmarkEnd w:id="311"/>
          </w:p>
          <w:p>
            <w:pPr>
              <w:adjustRightInd w:val="0"/>
              <w:snapToGrid w:val="0"/>
              <w:spacing w:line="360" w:lineRule="auto"/>
              <w:ind w:firstLine="482" w:firstLineChars="200"/>
              <w:rPr>
                <w:rFonts w:ascii="Times New Roman" w:hAnsi="Times New Roman" w:eastAsia="宋体" w:cs="Times New Roman"/>
                <w:b/>
                <w:sz w:val="24"/>
              </w:rPr>
            </w:pPr>
            <w:r>
              <w:rPr>
                <w:rFonts w:ascii="Times New Roman" w:hAnsi="Times New Roman" w:eastAsia="宋体" w:cs="Times New Roman"/>
                <w:b/>
                <w:sz w:val="24"/>
              </w:rPr>
              <w:t>1、源强分析</w:t>
            </w:r>
          </w:p>
          <w:p>
            <w:pPr>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施工过程中产生的废水主要是施工车辆及机械设备的冲洗废水、施工人员生活污水等，主要污染物质为SS。</w:t>
            </w:r>
          </w:p>
          <w:p>
            <w:pPr>
              <w:adjustRightInd w:val="0"/>
              <w:snapToGrid w:val="0"/>
              <w:spacing w:line="360" w:lineRule="auto"/>
              <w:ind w:firstLine="539"/>
              <w:rPr>
                <w:rFonts w:ascii="Times New Roman" w:hAnsi="Times New Roman" w:eastAsia="宋体" w:cs="Times New Roman"/>
                <w:sz w:val="24"/>
              </w:rPr>
            </w:pPr>
            <w:r>
              <w:rPr>
                <w:rFonts w:ascii="Times New Roman" w:hAnsi="Times New Roman" w:eastAsia="宋体" w:cs="Times New Roman"/>
                <w:b/>
                <w:bCs/>
                <w:sz w:val="24"/>
              </w:rPr>
              <w:t>（1）施工废水</w:t>
            </w:r>
          </w:p>
          <w:p>
            <w:pPr>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施工本身产生的废水主要包括混凝土养护排水、各种车辆冲洗废水。施工废水中含有水泥、沙子、块状垃圾等杂质。项目区设置临时沉淀池，废水经处理达标后回用于施工养护、设备清洗用水或洒水降尘等，不外排。本项目土建工程量较少，施工期短，施工废水产生量不大。</w:t>
            </w:r>
          </w:p>
          <w:p>
            <w:pPr>
              <w:adjustRightInd w:val="0"/>
              <w:snapToGrid w:val="0"/>
              <w:spacing w:line="360" w:lineRule="auto"/>
              <w:ind w:firstLine="482" w:firstLineChars="200"/>
              <w:rPr>
                <w:rFonts w:ascii="Times New Roman" w:hAnsi="Times New Roman" w:eastAsia="宋体" w:cs="Times New Roman"/>
                <w:b/>
                <w:bCs/>
                <w:sz w:val="24"/>
              </w:rPr>
            </w:pPr>
            <w:r>
              <w:rPr>
                <w:rFonts w:ascii="Times New Roman" w:hAnsi="Times New Roman" w:eastAsia="宋体" w:cs="Times New Roman"/>
                <w:b/>
                <w:bCs/>
                <w:sz w:val="24"/>
              </w:rPr>
              <w:t>（2）施工人员生活污水</w:t>
            </w:r>
          </w:p>
          <w:p>
            <w:pPr>
              <w:adjustRightInd w:val="0"/>
              <w:snapToGrid w:val="0"/>
              <w:spacing w:line="360" w:lineRule="auto"/>
              <w:ind w:firstLine="480" w:firstLineChars="200"/>
              <w:rPr>
                <w:rFonts w:ascii="Times New Roman" w:hAnsi="Times New Roman" w:eastAsia="宋体" w:cs="Times New Roman"/>
                <w:bCs/>
                <w:sz w:val="24"/>
              </w:rPr>
            </w:pPr>
            <w:r>
              <w:rPr>
                <w:rFonts w:ascii="Times New Roman" w:hAnsi="Times New Roman" w:eastAsia="宋体" w:cs="Times New Roman"/>
                <w:sz w:val="24"/>
              </w:rPr>
              <w:t>施工</w:t>
            </w:r>
            <w:r>
              <w:rPr>
                <w:rFonts w:ascii="Times New Roman" w:hAnsi="Times New Roman" w:eastAsia="宋体" w:cs="Times New Roman"/>
                <w:bCs/>
                <w:sz w:val="24"/>
              </w:rPr>
              <w:t>劳动定员10人，</w:t>
            </w:r>
            <w:r>
              <w:rPr>
                <w:rFonts w:ascii="Times New Roman" w:hAnsi="Times New Roman" w:eastAsia="宋体" w:cs="Times New Roman"/>
                <w:sz w:val="24"/>
              </w:rPr>
              <w:t>施工人员主要为周边村民，不在项目区食宿，因此主要为洗手废水，主要污染物为SS，洗手废水每人每天按照2L来计，则洗手废水产生量为0.02m</w:t>
            </w:r>
            <w:r>
              <w:rPr>
                <w:rFonts w:ascii="Times New Roman" w:hAnsi="Times New Roman" w:eastAsia="宋体" w:cs="Times New Roman"/>
                <w:sz w:val="24"/>
                <w:vertAlign w:val="superscript"/>
              </w:rPr>
              <w:t>3</w:t>
            </w:r>
            <w:r>
              <w:rPr>
                <w:rFonts w:ascii="Times New Roman" w:hAnsi="Times New Roman" w:eastAsia="宋体" w:cs="Times New Roman"/>
                <w:sz w:val="24"/>
              </w:rPr>
              <w:t>/d，施工期为</w:t>
            </w:r>
            <w:r>
              <w:rPr>
                <w:rFonts w:hint="eastAsia" w:ascii="Times New Roman" w:hAnsi="Times New Roman" w:eastAsia="宋体" w:cs="Times New Roman"/>
                <w:sz w:val="24"/>
              </w:rPr>
              <w:t>330</w:t>
            </w:r>
            <w:r>
              <w:rPr>
                <w:rFonts w:ascii="Times New Roman" w:hAnsi="Times New Roman" w:eastAsia="宋体" w:cs="Times New Roman"/>
                <w:sz w:val="24"/>
              </w:rPr>
              <w:t>天，施工期用水</w:t>
            </w:r>
            <w:r>
              <w:rPr>
                <w:rFonts w:hint="eastAsia" w:ascii="Times New Roman" w:hAnsi="Times New Roman" w:eastAsia="宋体" w:cs="Times New Roman"/>
                <w:sz w:val="24"/>
              </w:rPr>
              <w:t>6.6</w:t>
            </w:r>
            <w:r>
              <w:rPr>
                <w:rFonts w:ascii="Times New Roman" w:hAnsi="Times New Roman" w:eastAsia="宋体" w:cs="Times New Roman"/>
                <w:sz w:val="24"/>
              </w:rPr>
              <w:t>m</w:t>
            </w:r>
            <w:r>
              <w:rPr>
                <w:rFonts w:ascii="Times New Roman" w:hAnsi="Times New Roman" w:eastAsia="宋体" w:cs="Times New Roman"/>
                <w:sz w:val="24"/>
                <w:vertAlign w:val="superscript"/>
              </w:rPr>
              <w:t>3</w:t>
            </w:r>
            <w:r>
              <w:rPr>
                <w:rFonts w:ascii="Times New Roman" w:hAnsi="Times New Roman" w:eastAsia="宋体" w:cs="Times New Roman"/>
                <w:sz w:val="24"/>
              </w:rPr>
              <w:t>。施工人员产生的生活污水量较小，</w:t>
            </w:r>
            <w:r>
              <w:rPr>
                <w:rFonts w:hint="eastAsia" w:ascii="Times New Roman" w:hAnsi="Times New Roman" w:eastAsia="宋体" w:cs="Times New Roman"/>
                <w:sz w:val="24"/>
              </w:rPr>
              <w:t>生活污水经</w:t>
            </w:r>
            <w:r>
              <w:rPr>
                <w:rFonts w:ascii="Times New Roman" w:hAnsi="Times New Roman" w:eastAsia="宋体" w:cs="Times New Roman"/>
                <w:sz w:val="24"/>
              </w:rPr>
              <w:t>三级化粪池</w:t>
            </w:r>
            <w:r>
              <w:rPr>
                <w:rFonts w:hint="eastAsia" w:ascii="Times New Roman" w:hAnsi="Times New Roman" w:eastAsia="宋体" w:cs="Times New Roman"/>
                <w:sz w:val="24"/>
              </w:rPr>
              <w:t>处理后</w:t>
            </w:r>
            <w:r>
              <w:rPr>
                <w:rFonts w:ascii="Times New Roman" w:hAnsi="Times New Roman" w:eastAsia="宋体" w:cs="Times New Roman"/>
                <w:sz w:val="24"/>
              </w:rPr>
              <w:t>，</w:t>
            </w:r>
            <w:r>
              <w:rPr>
                <w:rFonts w:hint="eastAsia" w:ascii="Times New Roman" w:hAnsi="Times New Roman" w:eastAsia="宋体" w:cs="Times New Roman"/>
                <w:sz w:val="24"/>
              </w:rPr>
              <w:t>委托当地居民清掏用作农肥使用，</w:t>
            </w:r>
            <w:r>
              <w:rPr>
                <w:rFonts w:ascii="Times New Roman" w:hAnsi="Times New Roman" w:eastAsia="宋体" w:cs="Times New Roman"/>
                <w:sz w:val="24"/>
              </w:rPr>
              <w:t>不外排，对周边水环境影响较小。</w:t>
            </w:r>
          </w:p>
          <w:p>
            <w:pPr>
              <w:pStyle w:val="11"/>
              <w:adjustRightInd w:val="0"/>
              <w:snapToGrid w:val="0"/>
              <w:spacing w:line="360" w:lineRule="auto"/>
              <w:ind w:firstLine="472" w:firstLineChars="196"/>
              <w:rPr>
                <w:rFonts w:ascii="Times New Roman" w:hAnsi="Times New Roman" w:eastAsia="宋体" w:cs="Times New Roman"/>
                <w:b/>
                <w:bCs/>
              </w:rPr>
            </w:pPr>
            <w:r>
              <w:rPr>
                <w:rFonts w:ascii="Times New Roman" w:hAnsi="Times New Roman" w:eastAsia="宋体" w:cs="Times New Roman"/>
                <w:b/>
                <w:bCs/>
              </w:rPr>
              <w:t>2、污染防治措施</w:t>
            </w:r>
          </w:p>
          <w:p>
            <w:pPr>
              <w:adjustRightInd w:val="0"/>
              <w:snapToGrid w:val="0"/>
              <w:spacing w:line="360" w:lineRule="auto"/>
              <w:ind w:firstLine="480" w:firstLineChars="200"/>
              <w:rPr>
                <w:rFonts w:ascii="Times New Roman" w:hAnsi="Times New Roman" w:eastAsia="宋体" w:cs="Times New Roman"/>
                <w:sz w:val="24"/>
                <w:szCs w:val="28"/>
              </w:rPr>
            </w:pPr>
            <w:r>
              <w:rPr>
                <w:rFonts w:ascii="Times New Roman" w:hAnsi="Times New Roman" w:eastAsia="宋体" w:cs="Times New Roman"/>
                <w:sz w:val="24"/>
              </w:rPr>
              <w:t>施工期主要为施工废水、生活污水，生活污水依托项目区已建三级化粪池进行处置，不外排；施工废水通过厂区临时沉淀池处理后用于厂区洒水降尘及绿化用水，不外排。</w:t>
            </w:r>
          </w:p>
          <w:p>
            <w:pPr>
              <w:pStyle w:val="41"/>
              <w:ind w:firstLine="440" w:firstLineChars="200"/>
              <w:jc w:val="both"/>
              <w:rPr>
                <w:rFonts w:ascii="Times New Roman" w:hAnsi="Times New Roman" w:cs="Times New Roman"/>
                <w:sz w:val="24"/>
              </w:rPr>
            </w:pPr>
            <w:r>
              <w:rPr>
                <w:rFonts w:ascii="Times New Roman" w:hAnsi="Times New Roman" w:cs="Times New Roman"/>
                <w:bCs/>
                <w:spacing w:val="-10"/>
                <w:sz w:val="24"/>
                <w:szCs w:val="24"/>
              </w:rPr>
              <w:t>综上所述，采取以上措施后，施工期产生的废水对环境影响较小。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2" w:hRule="atLeast"/>
        </w:trPr>
        <w:tc>
          <w:tcPr>
            <w:tcW w:w="776" w:type="dxa"/>
            <w:vAlign w:val="center"/>
          </w:tcPr>
          <w:p>
            <w:pPr>
              <w:spacing w:line="360" w:lineRule="auto"/>
              <w:jc w:val="center"/>
              <w:rPr>
                <w:rFonts w:ascii="Times New Roman" w:hAnsi="Times New Roman" w:eastAsia="宋体" w:cs="Times New Roman"/>
                <w:kern w:val="0"/>
                <w:sz w:val="24"/>
                <w:lang w:bidi="ar"/>
              </w:rPr>
            </w:pPr>
            <w:r>
              <w:rPr>
                <w:rFonts w:ascii="Times New Roman" w:hAnsi="Times New Roman" w:eastAsia="宋体" w:cs="Times New Roman"/>
                <w:kern w:val="0"/>
                <w:sz w:val="24"/>
                <w:lang w:bidi="ar"/>
              </w:rPr>
              <w:t>运</w:t>
            </w:r>
          </w:p>
          <w:p>
            <w:pPr>
              <w:spacing w:line="360" w:lineRule="auto"/>
              <w:jc w:val="center"/>
              <w:rPr>
                <w:rFonts w:ascii="Times New Roman" w:hAnsi="Times New Roman" w:eastAsia="宋体" w:cs="Times New Roman"/>
                <w:kern w:val="0"/>
                <w:sz w:val="24"/>
                <w:lang w:bidi="ar"/>
              </w:rPr>
            </w:pPr>
            <w:r>
              <w:rPr>
                <w:rFonts w:ascii="Times New Roman" w:hAnsi="Times New Roman" w:eastAsia="宋体" w:cs="Times New Roman"/>
                <w:kern w:val="0"/>
                <w:sz w:val="24"/>
                <w:lang w:bidi="ar"/>
              </w:rPr>
              <w:t>营</w:t>
            </w:r>
          </w:p>
          <w:p>
            <w:pPr>
              <w:spacing w:line="360" w:lineRule="auto"/>
              <w:jc w:val="center"/>
              <w:rPr>
                <w:rFonts w:ascii="Times New Roman" w:hAnsi="Times New Roman" w:eastAsia="宋体" w:cs="Times New Roman"/>
                <w:kern w:val="0"/>
                <w:sz w:val="24"/>
                <w:lang w:bidi="ar"/>
              </w:rPr>
            </w:pPr>
            <w:r>
              <w:rPr>
                <w:rFonts w:ascii="Times New Roman" w:hAnsi="Times New Roman" w:eastAsia="宋体" w:cs="Times New Roman"/>
                <w:kern w:val="0"/>
                <w:sz w:val="24"/>
                <w:lang w:bidi="ar"/>
              </w:rPr>
              <w:t>期</w:t>
            </w:r>
          </w:p>
          <w:p>
            <w:pPr>
              <w:spacing w:line="360" w:lineRule="auto"/>
              <w:jc w:val="center"/>
              <w:rPr>
                <w:rFonts w:ascii="Times New Roman" w:hAnsi="Times New Roman" w:eastAsia="宋体" w:cs="Times New Roman"/>
                <w:kern w:val="0"/>
                <w:sz w:val="24"/>
                <w:lang w:bidi="ar"/>
              </w:rPr>
            </w:pPr>
            <w:r>
              <w:rPr>
                <w:rFonts w:ascii="Times New Roman" w:hAnsi="Times New Roman" w:eastAsia="宋体" w:cs="Times New Roman"/>
                <w:kern w:val="0"/>
                <w:sz w:val="24"/>
                <w:lang w:bidi="ar"/>
              </w:rPr>
              <w:t>环</w:t>
            </w:r>
          </w:p>
          <w:p>
            <w:pPr>
              <w:spacing w:line="360" w:lineRule="auto"/>
              <w:jc w:val="center"/>
              <w:rPr>
                <w:rFonts w:ascii="Times New Roman" w:hAnsi="Times New Roman" w:eastAsia="宋体" w:cs="Times New Roman"/>
                <w:kern w:val="0"/>
                <w:sz w:val="24"/>
                <w:lang w:bidi="ar"/>
              </w:rPr>
            </w:pPr>
            <w:r>
              <w:rPr>
                <w:rFonts w:ascii="Times New Roman" w:hAnsi="Times New Roman" w:eastAsia="宋体" w:cs="Times New Roman"/>
                <w:kern w:val="0"/>
                <w:sz w:val="24"/>
                <w:lang w:bidi="ar"/>
              </w:rPr>
              <w:t>境</w:t>
            </w:r>
          </w:p>
          <w:p>
            <w:pPr>
              <w:spacing w:line="360" w:lineRule="auto"/>
              <w:jc w:val="center"/>
              <w:rPr>
                <w:rFonts w:ascii="Times New Roman" w:hAnsi="Times New Roman" w:eastAsia="宋体" w:cs="Times New Roman"/>
                <w:kern w:val="0"/>
                <w:sz w:val="24"/>
                <w:lang w:bidi="ar"/>
              </w:rPr>
            </w:pPr>
            <w:r>
              <w:rPr>
                <w:rFonts w:ascii="Times New Roman" w:hAnsi="Times New Roman" w:eastAsia="宋体" w:cs="Times New Roman"/>
                <w:kern w:val="0"/>
                <w:sz w:val="24"/>
                <w:lang w:bidi="ar"/>
              </w:rPr>
              <w:t>影</w:t>
            </w:r>
          </w:p>
          <w:p>
            <w:pPr>
              <w:spacing w:line="360" w:lineRule="auto"/>
              <w:jc w:val="center"/>
              <w:rPr>
                <w:rFonts w:ascii="Times New Roman" w:hAnsi="Times New Roman" w:eastAsia="宋体" w:cs="Times New Roman"/>
                <w:kern w:val="0"/>
                <w:sz w:val="24"/>
                <w:lang w:bidi="ar"/>
              </w:rPr>
            </w:pPr>
            <w:r>
              <w:rPr>
                <w:rFonts w:ascii="Times New Roman" w:hAnsi="Times New Roman" w:eastAsia="宋体" w:cs="Times New Roman"/>
                <w:kern w:val="0"/>
                <w:sz w:val="24"/>
                <w:lang w:bidi="ar"/>
              </w:rPr>
              <w:t>响</w:t>
            </w:r>
          </w:p>
          <w:p>
            <w:pPr>
              <w:spacing w:line="360" w:lineRule="auto"/>
              <w:jc w:val="center"/>
              <w:rPr>
                <w:rFonts w:ascii="Times New Roman" w:hAnsi="Times New Roman" w:eastAsia="宋体" w:cs="Times New Roman"/>
                <w:kern w:val="0"/>
                <w:sz w:val="24"/>
                <w:lang w:bidi="ar"/>
              </w:rPr>
            </w:pPr>
            <w:r>
              <w:rPr>
                <w:rFonts w:ascii="Times New Roman" w:hAnsi="Times New Roman" w:eastAsia="宋体" w:cs="Times New Roman"/>
                <w:kern w:val="0"/>
                <w:sz w:val="24"/>
                <w:lang w:bidi="ar"/>
              </w:rPr>
              <w:t>和</w:t>
            </w:r>
          </w:p>
          <w:p>
            <w:pPr>
              <w:spacing w:line="360" w:lineRule="auto"/>
              <w:jc w:val="center"/>
              <w:rPr>
                <w:rFonts w:ascii="Times New Roman" w:hAnsi="Times New Roman" w:eastAsia="宋体" w:cs="Times New Roman"/>
                <w:kern w:val="0"/>
                <w:sz w:val="24"/>
                <w:lang w:bidi="ar"/>
              </w:rPr>
            </w:pPr>
            <w:r>
              <w:rPr>
                <w:rFonts w:ascii="Times New Roman" w:hAnsi="Times New Roman" w:eastAsia="宋体" w:cs="Times New Roman"/>
                <w:kern w:val="0"/>
                <w:sz w:val="24"/>
                <w:lang w:bidi="ar"/>
              </w:rPr>
              <w:t>保</w:t>
            </w:r>
          </w:p>
          <w:p>
            <w:pPr>
              <w:spacing w:line="360" w:lineRule="auto"/>
              <w:jc w:val="center"/>
              <w:rPr>
                <w:rFonts w:ascii="Times New Roman" w:hAnsi="Times New Roman" w:eastAsia="宋体" w:cs="Times New Roman"/>
                <w:kern w:val="0"/>
                <w:sz w:val="24"/>
                <w:lang w:bidi="ar"/>
              </w:rPr>
            </w:pPr>
            <w:r>
              <w:rPr>
                <w:rFonts w:ascii="Times New Roman" w:hAnsi="Times New Roman" w:eastAsia="宋体" w:cs="Times New Roman"/>
                <w:kern w:val="0"/>
                <w:sz w:val="24"/>
                <w:lang w:bidi="ar"/>
              </w:rPr>
              <w:t>护</w:t>
            </w:r>
          </w:p>
          <w:p>
            <w:pPr>
              <w:spacing w:line="360" w:lineRule="auto"/>
              <w:jc w:val="center"/>
              <w:rPr>
                <w:rFonts w:ascii="Times New Roman" w:hAnsi="Times New Roman" w:eastAsia="宋体" w:cs="Times New Roman"/>
                <w:kern w:val="0"/>
                <w:sz w:val="24"/>
                <w:lang w:bidi="ar"/>
              </w:rPr>
            </w:pPr>
            <w:r>
              <w:rPr>
                <w:rFonts w:ascii="Times New Roman" w:hAnsi="Times New Roman" w:eastAsia="宋体" w:cs="Times New Roman"/>
                <w:kern w:val="0"/>
                <w:sz w:val="24"/>
                <w:lang w:bidi="ar"/>
              </w:rPr>
              <w:t>措</w:t>
            </w:r>
          </w:p>
          <w:p>
            <w:pPr>
              <w:spacing w:line="360" w:lineRule="auto"/>
              <w:jc w:val="center"/>
              <w:rPr>
                <w:rFonts w:ascii="Times New Roman" w:hAnsi="Times New Roman" w:eastAsia="宋体" w:cs="Times New Roman"/>
                <w:kern w:val="0"/>
                <w:sz w:val="24"/>
                <w:lang w:bidi="ar"/>
              </w:rPr>
            </w:pPr>
            <w:r>
              <w:rPr>
                <w:rFonts w:ascii="Times New Roman" w:hAnsi="Times New Roman" w:eastAsia="宋体" w:cs="Times New Roman"/>
                <w:kern w:val="0"/>
                <w:sz w:val="24"/>
                <w:lang w:bidi="ar"/>
              </w:rPr>
              <w:t>施</w:t>
            </w:r>
          </w:p>
        </w:tc>
        <w:tc>
          <w:tcPr>
            <w:tcW w:w="7746" w:type="dxa"/>
          </w:tcPr>
          <w:p>
            <w:pPr>
              <w:adjustRightInd w:val="0"/>
              <w:snapToGrid w:val="0"/>
              <w:spacing w:line="360" w:lineRule="auto"/>
              <w:ind w:firstLine="482" w:firstLineChars="200"/>
              <w:rPr>
                <w:rFonts w:ascii="Times New Roman" w:hAnsi="Times New Roman" w:eastAsia="宋体" w:cs="Times New Roman"/>
                <w:b/>
                <w:bCs/>
                <w:sz w:val="24"/>
              </w:rPr>
            </w:pPr>
            <w:r>
              <w:rPr>
                <w:rFonts w:ascii="Times New Roman" w:hAnsi="Times New Roman" w:eastAsia="宋体" w:cs="Times New Roman"/>
                <w:b/>
                <w:bCs/>
                <w:sz w:val="24"/>
              </w:rPr>
              <w:t>一、运营期大气环境影响和保护措施</w:t>
            </w:r>
          </w:p>
          <w:p>
            <w:pPr>
              <w:pStyle w:val="41"/>
              <w:adjustRightInd w:val="0"/>
              <w:snapToGrid w:val="0"/>
              <w:ind w:firstLine="482" w:firstLineChars="200"/>
              <w:jc w:val="both"/>
              <w:rPr>
                <w:rFonts w:ascii="Times New Roman" w:hAnsi="Times New Roman" w:cs="Times New Roman"/>
                <w:b/>
                <w:bCs/>
                <w:sz w:val="24"/>
                <w:szCs w:val="24"/>
              </w:rPr>
            </w:pPr>
            <w:r>
              <w:rPr>
                <w:rFonts w:ascii="Times New Roman" w:hAnsi="Times New Roman" w:cs="Times New Roman"/>
                <w:b/>
                <w:bCs/>
                <w:sz w:val="24"/>
                <w:szCs w:val="24"/>
              </w:rPr>
              <w:t>1、废气污染物产排情况</w:t>
            </w:r>
          </w:p>
          <w:p>
            <w:pPr>
              <w:spacing w:line="360" w:lineRule="auto"/>
              <w:ind w:firstLine="480" w:firstLineChars="200"/>
              <w:rPr>
                <w:rFonts w:ascii="Times New Roman" w:hAnsi="Times New Roman" w:eastAsia="宋体" w:cs="Times New Roman"/>
                <w:sz w:val="24"/>
              </w:rPr>
            </w:pPr>
            <w:r>
              <w:rPr>
                <w:rFonts w:hint="eastAsia" w:ascii="宋体" w:hAnsi="宋体" w:eastAsia="宋体" w:cs="Times New Roman"/>
                <w:sz w:val="24"/>
              </w:rPr>
              <w:t>（1）</w:t>
            </w:r>
            <w:r>
              <w:rPr>
                <w:rFonts w:hint="eastAsia" w:ascii="Times New Roman" w:hAnsi="Times New Roman" w:eastAsia="宋体" w:cs="Times New Roman"/>
                <w:kern w:val="0"/>
                <w:sz w:val="24"/>
                <w:szCs w:val="20"/>
              </w:rPr>
              <w:t>破碎</w:t>
            </w:r>
            <w:r>
              <w:rPr>
                <w:rFonts w:ascii="Times New Roman" w:hAnsi="Times New Roman" w:eastAsia="宋体" w:cs="Times New Roman"/>
                <w:kern w:val="0"/>
                <w:sz w:val="24"/>
                <w:szCs w:val="20"/>
              </w:rPr>
              <w:t>、筛分</w:t>
            </w:r>
            <w:r>
              <w:rPr>
                <w:rFonts w:hint="eastAsia" w:ascii="宋体" w:hAnsi="宋体" w:eastAsia="宋体" w:cs="Times New Roman"/>
                <w:sz w:val="24"/>
              </w:rPr>
              <w:t>粉尘</w:t>
            </w:r>
          </w:p>
          <w:p>
            <w:pPr>
              <w:spacing w:after="120" w:line="360" w:lineRule="auto"/>
              <w:ind w:firstLine="480" w:firstLineChars="200"/>
              <w:rPr>
                <w:rFonts w:ascii="Times New Roman" w:hAnsi="Times New Roman" w:eastAsia="宋体" w:cs="Times New Roman"/>
                <w:kern w:val="0"/>
                <w:sz w:val="24"/>
                <w:szCs w:val="20"/>
              </w:rPr>
            </w:pPr>
            <w:r>
              <w:rPr>
                <w:rFonts w:hint="eastAsia" w:ascii="Times New Roman" w:hAnsi="Times New Roman" w:eastAsia="宋体" w:cs="Times New Roman"/>
                <w:kern w:val="0"/>
                <w:sz w:val="24"/>
                <w:szCs w:val="20"/>
              </w:rPr>
              <w:t>项目破碎</w:t>
            </w:r>
            <w:r>
              <w:rPr>
                <w:rFonts w:ascii="Times New Roman" w:hAnsi="Times New Roman" w:eastAsia="宋体" w:cs="Times New Roman"/>
                <w:kern w:val="0"/>
                <w:sz w:val="24"/>
                <w:szCs w:val="20"/>
              </w:rPr>
              <w:t>、筛分</w:t>
            </w:r>
            <w:r>
              <w:rPr>
                <w:rFonts w:hint="eastAsia" w:ascii="Times New Roman" w:hAnsi="Times New Roman" w:eastAsia="宋体" w:cs="Times New Roman"/>
                <w:kern w:val="0"/>
                <w:sz w:val="24"/>
                <w:szCs w:val="20"/>
              </w:rPr>
              <w:t>等</w:t>
            </w:r>
            <w:r>
              <w:rPr>
                <w:rFonts w:ascii="Times New Roman" w:hAnsi="Times New Roman" w:eastAsia="宋体" w:cs="Times New Roman"/>
                <w:kern w:val="0"/>
                <w:sz w:val="24"/>
                <w:szCs w:val="20"/>
              </w:rPr>
              <w:t>工序</w:t>
            </w:r>
            <w:r>
              <w:rPr>
                <w:rFonts w:hint="eastAsia" w:ascii="Times New Roman" w:hAnsi="Times New Roman" w:eastAsia="宋体" w:cs="Times New Roman"/>
                <w:kern w:val="0"/>
                <w:sz w:val="24"/>
                <w:szCs w:val="20"/>
              </w:rPr>
              <w:t>会</w:t>
            </w:r>
            <w:r>
              <w:rPr>
                <w:rFonts w:ascii="Times New Roman" w:hAnsi="Times New Roman" w:eastAsia="宋体" w:cs="Times New Roman"/>
                <w:kern w:val="0"/>
                <w:sz w:val="24"/>
                <w:szCs w:val="20"/>
              </w:rPr>
              <w:t>产生粉尘，本项目生产工序在密闭车间内，每台设备进出口设置喷淋装置，</w:t>
            </w:r>
            <w:r>
              <w:rPr>
                <w:rFonts w:hint="eastAsia" w:ascii="Times New Roman" w:hAnsi="Times New Roman" w:eastAsia="宋体" w:cs="Times New Roman"/>
                <w:kern w:val="0"/>
                <w:sz w:val="24"/>
                <w:szCs w:val="20"/>
              </w:rPr>
              <w:t>各</w:t>
            </w:r>
            <w:r>
              <w:rPr>
                <w:rFonts w:ascii="Times New Roman" w:hAnsi="Times New Roman" w:eastAsia="宋体" w:cs="Times New Roman"/>
                <w:kern w:val="0"/>
                <w:sz w:val="24"/>
                <w:szCs w:val="20"/>
              </w:rPr>
              <w:t>工序加水进行，产生粉尘</w:t>
            </w:r>
            <w:r>
              <w:rPr>
                <w:rFonts w:hint="eastAsia" w:ascii="Times New Roman" w:hAnsi="Times New Roman" w:eastAsia="宋体" w:cs="Times New Roman"/>
                <w:kern w:val="0"/>
                <w:sz w:val="24"/>
                <w:szCs w:val="20"/>
              </w:rPr>
              <w:t>量很少</w:t>
            </w:r>
            <w:r>
              <w:rPr>
                <w:rFonts w:ascii="Times New Roman" w:hAnsi="Times New Roman" w:eastAsia="宋体" w:cs="Times New Roman"/>
                <w:kern w:val="0"/>
                <w:sz w:val="24"/>
                <w:szCs w:val="20"/>
              </w:rPr>
              <w:t>。本项目</w:t>
            </w:r>
            <w:r>
              <w:rPr>
                <w:rFonts w:hint="eastAsia" w:ascii="Times New Roman" w:hAnsi="Times New Roman" w:eastAsia="宋体" w:cs="Times New Roman"/>
                <w:kern w:val="0"/>
                <w:sz w:val="24"/>
                <w:szCs w:val="20"/>
              </w:rPr>
              <w:t>原辅材料用量</w:t>
            </w:r>
            <w:r>
              <w:rPr>
                <w:rFonts w:ascii="Times New Roman" w:hAnsi="Times New Roman" w:eastAsia="宋体" w:cs="Times New Roman"/>
                <w:kern w:val="0"/>
                <w:sz w:val="24"/>
                <w:szCs w:val="20"/>
              </w:rPr>
              <w:t>为</w:t>
            </w:r>
            <w:r>
              <w:rPr>
                <w:rFonts w:hint="eastAsia" w:ascii="Times New Roman" w:hAnsi="Times New Roman" w:eastAsia="宋体" w:cs="Times New Roman"/>
                <w:kern w:val="0"/>
                <w:sz w:val="24"/>
                <w:szCs w:val="20"/>
              </w:rPr>
              <w:t>100万m</w:t>
            </w:r>
            <w:r>
              <w:rPr>
                <w:rFonts w:hint="eastAsia" w:ascii="Times New Roman" w:hAnsi="Times New Roman" w:eastAsia="宋体" w:cs="Times New Roman"/>
                <w:kern w:val="0"/>
                <w:sz w:val="24"/>
                <w:szCs w:val="20"/>
                <w:vertAlign w:val="superscript"/>
              </w:rPr>
              <w:t>3</w:t>
            </w:r>
            <w:r>
              <w:rPr>
                <w:rFonts w:ascii="Times New Roman" w:hAnsi="Times New Roman" w:eastAsia="宋体" w:cs="Times New Roman"/>
                <w:kern w:val="0"/>
                <w:sz w:val="24"/>
                <w:szCs w:val="20"/>
              </w:rPr>
              <w:t>/a</w:t>
            </w:r>
            <w:r>
              <w:rPr>
                <w:rFonts w:hint="eastAsia" w:ascii="Times New Roman" w:hAnsi="Times New Roman" w:eastAsia="宋体" w:cs="Times New Roman"/>
                <w:kern w:val="0"/>
                <w:sz w:val="24"/>
                <w:szCs w:val="20"/>
              </w:rPr>
              <w:t>（密度1500kg/m</w:t>
            </w:r>
            <w:r>
              <w:rPr>
                <w:rFonts w:hint="eastAsia" w:ascii="Times New Roman" w:hAnsi="Times New Roman" w:eastAsia="宋体" w:cs="Times New Roman"/>
                <w:kern w:val="0"/>
                <w:sz w:val="24"/>
                <w:szCs w:val="20"/>
                <w:vertAlign w:val="superscript"/>
              </w:rPr>
              <w:t>3</w:t>
            </w:r>
            <w:r>
              <w:rPr>
                <w:rFonts w:hint="eastAsia" w:ascii="Times New Roman" w:hAnsi="Times New Roman" w:eastAsia="宋体" w:cs="Times New Roman"/>
                <w:kern w:val="0"/>
                <w:sz w:val="24"/>
                <w:szCs w:val="20"/>
              </w:rPr>
              <w:t>计，150万</w:t>
            </w:r>
            <w:r>
              <w:rPr>
                <w:rFonts w:ascii="Times New Roman" w:hAnsi="Times New Roman" w:eastAsia="宋体" w:cs="Times New Roman"/>
                <w:kern w:val="0"/>
                <w:sz w:val="24"/>
                <w:szCs w:val="20"/>
              </w:rPr>
              <w:t>t/a</w:t>
            </w:r>
            <w:r>
              <w:rPr>
                <w:rFonts w:hint="eastAsia" w:ascii="Times New Roman" w:hAnsi="Times New Roman" w:eastAsia="宋体" w:cs="Times New Roman"/>
                <w:kern w:val="0"/>
                <w:sz w:val="24"/>
                <w:szCs w:val="20"/>
              </w:rPr>
              <w:t>）</w:t>
            </w:r>
            <w:r>
              <w:rPr>
                <w:rFonts w:ascii="Times New Roman" w:hAnsi="Times New Roman" w:eastAsia="宋体" w:cs="Times New Roman"/>
                <w:kern w:val="0"/>
                <w:sz w:val="24"/>
                <w:szCs w:val="20"/>
              </w:rPr>
              <w:t>，</w:t>
            </w:r>
            <w:r>
              <w:rPr>
                <w:rFonts w:hint="eastAsia" w:ascii="Times New Roman" w:hAnsi="Times New Roman" w:eastAsia="宋体" w:cs="Times New Roman"/>
                <w:kern w:val="0"/>
                <w:sz w:val="24"/>
                <w:szCs w:val="20"/>
              </w:rPr>
              <w:t>根据业主提供资料显示，其中有15万</w:t>
            </w:r>
            <w:r>
              <w:rPr>
                <w:rFonts w:ascii="Times New Roman" w:hAnsi="Times New Roman" w:eastAsia="宋体" w:cs="Times New Roman"/>
                <w:kern w:val="0"/>
                <w:sz w:val="24"/>
                <w:szCs w:val="20"/>
              </w:rPr>
              <w:t>t/a</w:t>
            </w:r>
            <w:r>
              <w:rPr>
                <w:rFonts w:hint="eastAsia" w:ascii="Times New Roman" w:hAnsi="Times New Roman" w:eastAsia="宋体" w:cs="Times New Roman"/>
                <w:kern w:val="0"/>
                <w:sz w:val="24"/>
                <w:szCs w:val="20"/>
              </w:rPr>
              <w:t>需要破碎、筛分，</w:t>
            </w:r>
            <w:r>
              <w:rPr>
                <w:rFonts w:hint="eastAsia" w:ascii="Times New Roman" w:hAnsi="Times New Roman" w:eastAsia="宋体"/>
                <w:sz w:val="24"/>
              </w:rPr>
              <w:t>参照</w:t>
            </w:r>
            <w:r>
              <w:rPr>
                <w:rFonts w:ascii="Times New Roman" w:hAnsi="Times New Roman" w:eastAsia="宋体"/>
                <w:sz w:val="24"/>
                <w:lang w:val="zh-CN"/>
              </w:rPr>
              <w:t>《第</w:t>
            </w:r>
            <w:r>
              <w:rPr>
                <w:rFonts w:hint="eastAsia" w:ascii="Times New Roman" w:hAnsi="Times New Roman" w:eastAsia="宋体"/>
                <w:sz w:val="24"/>
              </w:rPr>
              <w:t>二</w:t>
            </w:r>
            <w:r>
              <w:rPr>
                <w:rFonts w:ascii="Times New Roman" w:hAnsi="Times New Roman" w:eastAsia="宋体"/>
                <w:sz w:val="24"/>
                <w:lang w:val="zh-CN"/>
              </w:rPr>
              <w:t>次全国污染源普查工业污染源产排污系数手册》</w:t>
            </w:r>
            <w:r>
              <w:rPr>
                <w:rFonts w:hint="eastAsia" w:ascii="Times New Roman" w:hAnsi="Times New Roman" w:eastAsia="宋体"/>
                <w:sz w:val="24"/>
              </w:rPr>
              <w:t>中“3039 其他建筑材料制造行业”</w:t>
            </w:r>
            <w:r>
              <w:rPr>
                <w:rFonts w:ascii="Times New Roman" w:hAnsi="Times New Roman" w:eastAsia="宋体" w:cs="Times New Roman"/>
                <w:kern w:val="0"/>
                <w:sz w:val="24"/>
                <w:szCs w:val="20"/>
              </w:rPr>
              <w:t>，本项目</w:t>
            </w:r>
            <w:r>
              <w:rPr>
                <w:rFonts w:hint="eastAsia" w:ascii="Times New Roman" w:hAnsi="Times New Roman" w:eastAsia="宋体" w:cs="Times New Roman"/>
                <w:kern w:val="0"/>
                <w:sz w:val="24"/>
                <w:szCs w:val="20"/>
              </w:rPr>
              <w:t>生产</w:t>
            </w:r>
            <w:r>
              <w:rPr>
                <w:rFonts w:ascii="Times New Roman" w:hAnsi="Times New Roman" w:eastAsia="宋体" w:cs="Times New Roman"/>
                <w:kern w:val="0"/>
                <w:sz w:val="24"/>
                <w:szCs w:val="20"/>
              </w:rPr>
              <w:t>过程产生的粉尘系数为</w:t>
            </w:r>
            <w:r>
              <w:rPr>
                <w:rFonts w:hint="eastAsia" w:ascii="Times New Roman" w:hAnsi="Times New Roman" w:eastAsia="宋体" w:cs="Times New Roman"/>
                <w:kern w:val="0"/>
                <w:sz w:val="24"/>
                <w:szCs w:val="20"/>
              </w:rPr>
              <w:t>1.89</w:t>
            </w:r>
            <w:r>
              <w:rPr>
                <w:rFonts w:ascii="Times New Roman" w:hAnsi="Times New Roman" w:eastAsia="宋体" w:cs="Times New Roman"/>
                <w:kern w:val="0"/>
                <w:sz w:val="24"/>
                <w:szCs w:val="20"/>
              </w:rPr>
              <w:t>kg/t原料，则项目</w:t>
            </w:r>
            <w:r>
              <w:rPr>
                <w:rFonts w:hint="eastAsia" w:ascii="Times New Roman" w:hAnsi="Times New Roman" w:eastAsia="宋体" w:cs="Times New Roman"/>
                <w:kern w:val="0"/>
                <w:sz w:val="24"/>
                <w:szCs w:val="20"/>
              </w:rPr>
              <w:t>生产</w:t>
            </w:r>
            <w:r>
              <w:rPr>
                <w:rFonts w:ascii="Times New Roman" w:hAnsi="Times New Roman" w:eastAsia="宋体" w:cs="Times New Roman"/>
                <w:kern w:val="0"/>
                <w:sz w:val="24"/>
                <w:szCs w:val="20"/>
              </w:rPr>
              <w:t>过程产生的粉尘量为</w:t>
            </w:r>
            <w:r>
              <w:rPr>
                <w:rFonts w:hint="eastAsia" w:ascii="Times New Roman" w:hAnsi="Times New Roman" w:eastAsia="宋体" w:cs="Times New Roman"/>
                <w:kern w:val="0"/>
                <w:sz w:val="24"/>
                <w:szCs w:val="20"/>
              </w:rPr>
              <w:t>283.5</w:t>
            </w:r>
            <w:r>
              <w:rPr>
                <w:rFonts w:ascii="Times New Roman" w:hAnsi="Times New Roman" w:eastAsia="宋体" w:cs="Times New Roman"/>
                <w:kern w:val="0"/>
                <w:sz w:val="24"/>
                <w:szCs w:val="20"/>
              </w:rPr>
              <w:t>t/a</w:t>
            </w:r>
            <w:r>
              <w:rPr>
                <w:rFonts w:hint="eastAsia" w:ascii="Times New Roman" w:hAnsi="Times New Roman" w:eastAsia="宋体" w:cs="Times New Roman"/>
                <w:kern w:val="0"/>
                <w:sz w:val="24"/>
                <w:szCs w:val="20"/>
              </w:rPr>
              <w:t>，项目在破碎、筛分工段设置洒水降尘措施</w:t>
            </w:r>
            <w:r>
              <w:rPr>
                <w:rFonts w:ascii="Times New Roman" w:hAnsi="Times New Roman" w:cs="Times New Roman"/>
                <w:sz w:val="24"/>
              </w:rPr>
              <w:t>（除尘效率按80%计）</w:t>
            </w:r>
            <w:r>
              <w:rPr>
                <w:rFonts w:hint="eastAsia" w:ascii="Times New Roman" w:hAnsi="Times New Roman" w:eastAsia="宋体" w:cs="Times New Roman"/>
                <w:kern w:val="0"/>
                <w:sz w:val="24"/>
                <w:szCs w:val="20"/>
              </w:rPr>
              <w:t>，</w:t>
            </w:r>
            <w:r>
              <w:rPr>
                <w:rFonts w:hint="eastAsia"/>
                <w:sz w:val="24"/>
              </w:rPr>
              <w:t>由于建筑物阻挡，项目80%扬尘沉降在厂区内收集后清运至污泥堆场暂存，同污泥一同处置。仅20%扬尘飘在空中</w:t>
            </w:r>
            <w:r>
              <w:rPr>
                <w:rFonts w:ascii="Times New Roman" w:hAnsi="Times New Roman" w:cs="Times New Roman"/>
                <w:sz w:val="24"/>
              </w:rPr>
              <w:t>，厂房内部采取喷雾降尘措施（除尘效率按80%计），则破碎粉尘排放量为</w:t>
            </w:r>
            <w:r>
              <w:rPr>
                <w:rFonts w:hint="eastAsia" w:ascii="Times New Roman" w:hAnsi="Times New Roman" w:cs="Times New Roman"/>
                <w:sz w:val="24"/>
              </w:rPr>
              <w:t>2.268</w:t>
            </w:r>
            <w:r>
              <w:rPr>
                <w:rFonts w:ascii="Times New Roman" w:hAnsi="Times New Roman" w:cs="Times New Roman"/>
                <w:sz w:val="24"/>
              </w:rPr>
              <w:t>t/a，排放速率为</w:t>
            </w:r>
            <w:r>
              <w:rPr>
                <w:rFonts w:hint="eastAsia" w:ascii="Times New Roman" w:hAnsi="Times New Roman" w:cs="Times New Roman"/>
                <w:sz w:val="24"/>
              </w:rPr>
              <w:t>0.945</w:t>
            </w:r>
            <w:r>
              <w:rPr>
                <w:rFonts w:ascii="Times New Roman" w:hAnsi="Times New Roman" w:cs="Times New Roman"/>
                <w:sz w:val="24"/>
              </w:rPr>
              <w:t>kg/h。</w:t>
            </w:r>
          </w:p>
          <w:p>
            <w:pPr>
              <w:adjustRightInd w:val="0"/>
              <w:snapToGrid w:val="0"/>
              <w:spacing w:line="360" w:lineRule="auto"/>
              <w:ind w:firstLine="480" w:firstLineChars="200"/>
              <w:rPr>
                <w:rFonts w:ascii="Times New Roman" w:hAnsi="Times New Roman" w:eastAsia="宋体" w:cs="Times New Roman"/>
                <w:sz w:val="24"/>
              </w:rPr>
            </w:pPr>
            <w:r>
              <w:rPr>
                <w:rFonts w:hint="eastAsia" w:ascii="宋体" w:hAnsi="宋体" w:eastAsia="宋体" w:cs="Times New Roman"/>
                <w:sz w:val="24"/>
              </w:rPr>
              <w:t>（2）</w:t>
            </w:r>
            <w:r>
              <w:rPr>
                <w:rFonts w:hint="eastAsia" w:ascii="Times New Roman" w:hAnsi="Times New Roman" w:eastAsia="宋体" w:cs="Times New Roman"/>
                <w:sz w:val="24"/>
              </w:rPr>
              <w:t>堆场扬尘（原材料、成品堆场、堆泥场）</w:t>
            </w:r>
          </w:p>
          <w:p>
            <w:pPr>
              <w:adjustRightInd w:val="0"/>
              <w:snapToGrid w:val="0"/>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项目产品堆存及装载过程中受扰动及风力影响，易产生风力扬尘，据相关研究，堆料及物料装卸的起尘量与物料的粒径分布、环境风速等有关，一般比重小的物料容易受扰动而起尘，物料中小颗粒比例大时起尘量相应也大；当环境风速提高到6m/s后，起尘强度明显加大。</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原材料、成品堆场、堆泥场起尘量：</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评价引用西安冶金建筑学院给出的北方起尘公式进行计算。</w:t>
            </w:r>
          </w:p>
          <w:p>
            <w:pPr>
              <w:spacing w:line="360" w:lineRule="auto"/>
              <w:ind w:firstLine="480" w:firstLineChars="200"/>
              <w:jc w:val="center"/>
              <w:rPr>
                <w:rFonts w:ascii="Times New Roman" w:hAnsi="Times New Roman" w:eastAsia="宋体" w:cs="Times New Roman"/>
                <w:sz w:val="24"/>
              </w:rPr>
            </w:pPr>
            <w:r>
              <w:rPr>
                <w:rFonts w:hint="eastAsia" w:ascii="Times New Roman" w:hAnsi="Times New Roman" w:eastAsia="宋体" w:cs="Times New Roman"/>
                <w:sz w:val="24"/>
              </w:rPr>
              <w:object>
                <v:shape id="_x0000_i1025" o:spt="75" type="#_x0000_t75" style="height:18.35pt;width:171.9pt;" o:ole="t" filled="f" o:preferrelative="t" stroked="f" coordsize="21600,21600">
                  <v:path/>
                  <v:fill on="f" focussize="0,0"/>
                  <v:stroke on="f" joinstyle="miter"/>
                  <v:imagedata r:id="rId11" o:title=""/>
                  <o:lock v:ext="edit" aspectratio="t"/>
                  <w10:wrap type="none"/>
                  <w10:anchorlock/>
                </v:shape>
                <o:OLEObject Type="Embed" ProgID="Equation.3" ShapeID="_x0000_i1025" DrawAspect="Content" ObjectID="_1468075725" r:id="rId10">
                  <o:LockedField>false</o:LockedField>
                </o:OLEObject>
              </w:objec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式中：Q—堆场起尘量，mg/s；</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 xml:space="preserve">      U—堆场平均风速，m/s评价选取U=2m/s(年均风速）</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 xml:space="preserve">      Ap—堆场的面积，按2300m</w:t>
            </w:r>
            <w:r>
              <w:rPr>
                <w:rFonts w:hint="eastAsia" w:ascii="Times New Roman" w:hAnsi="Times New Roman" w:eastAsia="宋体" w:cs="Times New Roman"/>
                <w:sz w:val="24"/>
                <w:vertAlign w:val="superscript"/>
              </w:rPr>
              <w:t>2</w:t>
            </w:r>
            <w:r>
              <w:rPr>
                <w:rFonts w:hint="eastAsia" w:ascii="Times New Roman" w:hAnsi="Times New Roman" w:eastAsia="宋体" w:cs="Times New Roman"/>
                <w:sz w:val="24"/>
              </w:rPr>
              <w:t>计；</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 xml:space="preserve">      Ƞ—</w:t>
            </w:r>
            <w:r>
              <w:rPr>
                <w:rFonts w:hint="eastAsia" w:ascii="Times New Roman" w:hAnsi="Times New Roman" w:eastAsia="宋体" w:cs="Times New Roman"/>
                <w:sz w:val="24"/>
              </w:rPr>
              <w:t>堆场抑尘效率，对产品进行洒水，堆放于封闭式厂房内，堆场抑尘效率按</w:t>
            </w:r>
            <w:r>
              <w:rPr>
                <w:rFonts w:ascii="Times New Roman" w:hAnsi="Times New Roman" w:eastAsia="宋体" w:cs="Times New Roman"/>
                <w:sz w:val="24"/>
              </w:rPr>
              <w:t>9</w:t>
            </w:r>
            <w:r>
              <w:rPr>
                <w:rFonts w:hint="eastAsia" w:ascii="Times New Roman" w:hAnsi="Times New Roman" w:eastAsia="宋体" w:cs="Times New Roman"/>
                <w:sz w:val="24"/>
              </w:rPr>
              <w:t>5</w:t>
            </w:r>
            <w:r>
              <w:rPr>
                <w:rFonts w:ascii="Times New Roman" w:hAnsi="Times New Roman" w:eastAsia="宋体" w:cs="Times New Roman"/>
                <w:sz w:val="24"/>
              </w:rPr>
              <w:t>%</w:t>
            </w:r>
            <w:r>
              <w:rPr>
                <w:rFonts w:hint="eastAsia" w:ascii="Times New Roman" w:hAnsi="Times New Roman" w:eastAsia="宋体" w:cs="Times New Roman"/>
                <w:sz w:val="24"/>
              </w:rPr>
              <w:t>计。</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根据核算，本项目原料及成品堆场、堆泥场起尘排放量约为0.046t/a。</w:t>
            </w:r>
            <w:r>
              <w:rPr>
                <w:rFonts w:ascii="Times New Roman" w:hAnsi="Times New Roman" w:cs="Times New Roman"/>
                <w:kern w:val="0"/>
                <w:sz w:val="24"/>
                <w:lang w:bidi="ar"/>
              </w:rPr>
              <w:t>堆场</w:t>
            </w:r>
            <w:r>
              <w:rPr>
                <w:rFonts w:hint="eastAsia" w:ascii="Times New Roman" w:hAnsi="Times New Roman" w:cs="Times New Roman"/>
                <w:sz w:val="24"/>
              </w:rPr>
              <w:t>设料棚</w:t>
            </w:r>
            <w:r>
              <w:rPr>
                <w:rFonts w:ascii="Times New Roman" w:hAnsi="Times New Roman" w:cs="Times New Roman"/>
                <w:sz w:val="24"/>
              </w:rPr>
              <w:t>、帆布覆盖</w:t>
            </w:r>
            <w:r>
              <w:rPr>
                <w:rFonts w:hint="eastAsia" w:ascii="Times New Roman" w:hAnsi="Times New Roman" w:cs="Times New Roman"/>
                <w:sz w:val="24"/>
              </w:rPr>
              <w:t>，</w:t>
            </w:r>
            <w:r>
              <w:rPr>
                <w:rFonts w:ascii="Times New Roman" w:hAnsi="Times New Roman" w:cs="Times New Roman"/>
                <w:sz w:val="24"/>
              </w:rPr>
              <w:t>并设置</w:t>
            </w:r>
            <w:r>
              <w:rPr>
                <w:rFonts w:hint="eastAsia" w:ascii="Times New Roman" w:hAnsi="Times New Roman" w:cs="Times New Roman"/>
                <w:sz w:val="24"/>
              </w:rPr>
              <w:t>6</w:t>
            </w:r>
            <w:r>
              <w:rPr>
                <w:rFonts w:ascii="Times New Roman" w:hAnsi="Times New Roman" w:cs="Times New Roman"/>
                <w:sz w:val="24"/>
              </w:rPr>
              <w:t>台雾炮机喷雾降尘（除尘效率按80%计），</w:t>
            </w:r>
            <w:r>
              <w:rPr>
                <w:rFonts w:ascii="Times New Roman" w:hAnsi="Times New Roman" w:eastAsia="宋体" w:cs="Times New Roman"/>
                <w:kern w:val="0"/>
                <w:sz w:val="24"/>
                <w:lang w:bidi="ar"/>
              </w:rPr>
              <w:t>按全年</w:t>
            </w:r>
            <w:r>
              <w:rPr>
                <w:rFonts w:hint="eastAsia" w:ascii="Times New Roman" w:hAnsi="Times New Roman" w:cs="Times New Roman"/>
                <w:kern w:val="0"/>
                <w:sz w:val="24"/>
                <w:lang w:bidi="ar"/>
              </w:rPr>
              <w:t>300</w:t>
            </w:r>
            <w:r>
              <w:rPr>
                <w:rFonts w:ascii="Times New Roman" w:hAnsi="Times New Roman" w:eastAsia="宋体" w:cs="Times New Roman"/>
                <w:kern w:val="0"/>
                <w:sz w:val="24"/>
                <w:lang w:bidi="ar"/>
              </w:rPr>
              <w:t>天，每天24小时计，全年粉尘</w:t>
            </w:r>
            <w:r>
              <w:rPr>
                <w:rFonts w:hint="eastAsia" w:ascii="Times New Roman" w:hAnsi="Times New Roman" w:eastAsia="宋体" w:cs="Times New Roman"/>
                <w:kern w:val="0"/>
                <w:sz w:val="24"/>
                <w:lang w:bidi="ar"/>
              </w:rPr>
              <w:t>排放</w:t>
            </w:r>
            <w:r>
              <w:rPr>
                <w:rFonts w:ascii="Times New Roman" w:hAnsi="Times New Roman" w:eastAsia="宋体" w:cs="Times New Roman"/>
                <w:kern w:val="0"/>
                <w:sz w:val="24"/>
                <w:lang w:bidi="ar"/>
              </w:rPr>
              <w:t>量为</w:t>
            </w:r>
            <w:r>
              <w:rPr>
                <w:rFonts w:hint="eastAsia" w:ascii="Times New Roman" w:hAnsi="Times New Roman" w:cs="Times New Roman"/>
                <w:kern w:val="0"/>
                <w:sz w:val="24"/>
                <w:lang w:bidi="ar"/>
              </w:rPr>
              <w:t>0.0092</w:t>
            </w:r>
            <w:r>
              <w:rPr>
                <w:rFonts w:ascii="Times New Roman" w:hAnsi="Times New Roman" w:eastAsia="宋体" w:cs="Times New Roman"/>
                <w:kern w:val="0"/>
                <w:sz w:val="24"/>
                <w:lang w:bidi="ar"/>
              </w:rPr>
              <w:t>t/a</w:t>
            </w:r>
            <w:r>
              <w:rPr>
                <w:rFonts w:ascii="Times New Roman" w:hAnsi="Times New Roman" w:cs="Times New Roman"/>
                <w:kern w:val="0"/>
                <w:sz w:val="24"/>
                <w:lang w:bidi="ar"/>
              </w:rPr>
              <w:t>、0.</w:t>
            </w:r>
            <w:r>
              <w:rPr>
                <w:rFonts w:hint="eastAsia" w:ascii="Times New Roman" w:hAnsi="Times New Roman" w:cs="Times New Roman"/>
                <w:kern w:val="0"/>
                <w:sz w:val="24"/>
                <w:lang w:bidi="ar"/>
              </w:rPr>
              <w:t>001</w:t>
            </w:r>
            <w:r>
              <w:rPr>
                <w:rFonts w:ascii="Times New Roman" w:hAnsi="Times New Roman" w:cs="Times New Roman"/>
                <w:kern w:val="0"/>
                <w:sz w:val="24"/>
                <w:lang w:bidi="ar"/>
              </w:rPr>
              <w:t>kg/h。</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（3）装卸扬尘</w:t>
            </w:r>
          </w:p>
          <w:p>
            <w:pPr>
              <w:spacing w:line="360" w:lineRule="auto"/>
              <w:ind w:firstLine="480" w:firstLineChars="200"/>
              <w:jc w:val="left"/>
              <w:rPr>
                <w:sz w:val="24"/>
              </w:rPr>
            </w:pPr>
            <w:r>
              <w:rPr>
                <w:rFonts w:hint="eastAsia"/>
                <w:sz w:val="24"/>
              </w:rPr>
              <w:t>项目原辅材料和成品在厂区内装卸、过程产生扬尘，主要污染因子为颗粒物，呈无组织形式逸散。根据《逸散性工业粉尘控制技术》（中国环境科学出版社，1989.12，J.A.奥里蒙、G.A.久兹等编著张良璧等编译）砂卸料过程产生系数为0.01kg/t原料；砂装货过程产生系数为0.01kg/t成品。由于建筑物阻挡，项目80%扬尘沉降在厂区内收集后清运至污泥堆场暂存，同污泥一同处置。仅20%扬尘飘在空中，通过增加厂区地面清扫频率，不定时</w:t>
            </w:r>
            <w:r>
              <w:rPr>
                <w:rFonts w:hint="eastAsia" w:cs="宋体"/>
                <w:sz w:val="24"/>
              </w:rPr>
              <w:t>洒水</w:t>
            </w:r>
            <w:r>
              <w:rPr>
                <w:rFonts w:hint="eastAsia"/>
                <w:sz w:val="24"/>
              </w:rPr>
              <w:t>抑尘，降尘效率可达到90%以上，项目扬尘产排情况见表</w:t>
            </w:r>
            <w:r>
              <w:rPr>
                <w:sz w:val="24"/>
              </w:rPr>
              <w:t>4-</w:t>
            </w:r>
            <w:r>
              <w:rPr>
                <w:rFonts w:hint="eastAsia"/>
                <w:sz w:val="24"/>
              </w:rPr>
              <w:t>5。</w:t>
            </w:r>
          </w:p>
          <w:p>
            <w:pPr>
              <w:tabs>
                <w:tab w:val="left" w:pos="690"/>
              </w:tabs>
              <w:adjustRightInd w:val="0"/>
              <w:snapToGrid w:val="0"/>
              <w:jc w:val="center"/>
              <w:rPr>
                <w:rFonts w:ascii="宋体" w:hAnsi="宋体" w:eastAsia="宋体" w:cs="宋体"/>
                <w:b/>
                <w:szCs w:val="21"/>
              </w:rPr>
            </w:pPr>
            <w:r>
              <w:rPr>
                <w:rFonts w:hint="eastAsia" w:ascii="宋体" w:hAnsi="宋体" w:eastAsia="宋体" w:cs="宋体"/>
                <w:b/>
                <w:bCs/>
                <w:szCs w:val="21"/>
              </w:rPr>
              <w:t>表4-5  项目装卸粉尘产排情况表</w:t>
            </w:r>
          </w:p>
          <w:tbl>
            <w:tblPr>
              <w:tblStyle w:val="29"/>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9"/>
              <w:gridCol w:w="1097"/>
              <w:gridCol w:w="859"/>
              <w:gridCol w:w="1036"/>
              <w:gridCol w:w="914"/>
              <w:gridCol w:w="977"/>
              <w:gridCol w:w="637"/>
              <w:gridCol w:w="700"/>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371" w:type="pct"/>
                  <w:vMerge w:val="restart"/>
                  <w:vAlign w:val="center"/>
                </w:tcPr>
                <w:p>
                  <w:pPr>
                    <w:widowControl/>
                    <w:spacing w:line="300" w:lineRule="exact"/>
                    <w:jc w:val="center"/>
                    <w:textAlignment w:val="center"/>
                    <w:rPr>
                      <w:rFonts w:ascii="宋体" w:hAnsi="宋体" w:eastAsia="宋体" w:cs="宋体"/>
                      <w:b/>
                      <w:bCs/>
                      <w:kern w:val="0"/>
                      <w:szCs w:val="21"/>
                    </w:rPr>
                  </w:pPr>
                  <w:r>
                    <w:rPr>
                      <w:rFonts w:hint="eastAsia" w:ascii="宋体" w:hAnsi="宋体" w:eastAsia="宋体" w:cs="宋体"/>
                      <w:b/>
                      <w:bCs/>
                      <w:kern w:val="0"/>
                      <w:szCs w:val="21"/>
                    </w:rPr>
                    <w:t>过程</w:t>
                  </w:r>
                </w:p>
              </w:tc>
              <w:tc>
                <w:tcPr>
                  <w:tcW w:w="729" w:type="pct"/>
                  <w:vMerge w:val="restart"/>
                  <w:vAlign w:val="center"/>
                </w:tcPr>
                <w:p>
                  <w:pPr>
                    <w:widowControl/>
                    <w:spacing w:line="300" w:lineRule="exact"/>
                    <w:jc w:val="center"/>
                    <w:textAlignment w:val="center"/>
                    <w:rPr>
                      <w:rFonts w:ascii="宋体" w:hAnsi="宋体" w:eastAsia="宋体" w:cs="宋体"/>
                      <w:b/>
                      <w:bCs/>
                      <w:kern w:val="0"/>
                      <w:szCs w:val="21"/>
                    </w:rPr>
                  </w:pPr>
                  <w:r>
                    <w:rPr>
                      <w:rFonts w:hint="eastAsia" w:ascii="宋体" w:hAnsi="宋体" w:eastAsia="宋体" w:cs="宋体"/>
                      <w:b/>
                      <w:bCs/>
                      <w:kern w:val="0"/>
                      <w:szCs w:val="21"/>
                    </w:rPr>
                    <w:t>产生系数</w:t>
                  </w:r>
                </w:p>
              </w:tc>
              <w:tc>
                <w:tcPr>
                  <w:tcW w:w="571" w:type="pct"/>
                  <w:vMerge w:val="restart"/>
                  <w:vAlign w:val="center"/>
                </w:tcPr>
                <w:p>
                  <w:pPr>
                    <w:widowControl/>
                    <w:spacing w:line="300" w:lineRule="exact"/>
                    <w:jc w:val="center"/>
                    <w:textAlignment w:val="center"/>
                    <w:rPr>
                      <w:rFonts w:ascii="宋体" w:hAnsi="宋体" w:eastAsia="宋体" w:cs="宋体"/>
                      <w:b/>
                      <w:bCs/>
                      <w:kern w:val="0"/>
                      <w:szCs w:val="21"/>
                    </w:rPr>
                  </w:pPr>
                  <w:r>
                    <w:rPr>
                      <w:rFonts w:hint="eastAsia" w:ascii="宋体" w:hAnsi="宋体" w:eastAsia="宋体" w:cs="宋体"/>
                      <w:b/>
                      <w:bCs/>
                      <w:kern w:val="0"/>
                      <w:szCs w:val="21"/>
                    </w:rPr>
                    <w:t>产生量（t/a）</w:t>
                  </w:r>
                </w:p>
              </w:tc>
              <w:tc>
                <w:tcPr>
                  <w:tcW w:w="1297" w:type="pct"/>
                  <w:gridSpan w:val="2"/>
                  <w:vAlign w:val="center"/>
                </w:tcPr>
                <w:p>
                  <w:pPr>
                    <w:widowControl/>
                    <w:spacing w:line="300" w:lineRule="exact"/>
                    <w:jc w:val="center"/>
                    <w:textAlignment w:val="center"/>
                    <w:rPr>
                      <w:rFonts w:ascii="宋体" w:hAnsi="宋体" w:eastAsia="宋体" w:cs="宋体"/>
                      <w:b/>
                      <w:bCs/>
                      <w:kern w:val="0"/>
                      <w:szCs w:val="21"/>
                    </w:rPr>
                  </w:pPr>
                  <w:r>
                    <w:rPr>
                      <w:rFonts w:hint="eastAsia" w:ascii="宋体" w:hAnsi="宋体" w:eastAsia="宋体" w:cs="宋体"/>
                      <w:b/>
                      <w:bCs/>
                      <w:kern w:val="0"/>
                      <w:szCs w:val="21"/>
                    </w:rPr>
                    <w:t>经阻挡沉降（t/a）</w:t>
                  </w:r>
                </w:p>
              </w:tc>
              <w:tc>
                <w:tcPr>
                  <w:tcW w:w="650" w:type="pct"/>
                  <w:vMerge w:val="restart"/>
                  <w:vAlign w:val="center"/>
                </w:tcPr>
                <w:p>
                  <w:pPr>
                    <w:widowControl/>
                    <w:spacing w:line="300" w:lineRule="exact"/>
                    <w:jc w:val="center"/>
                    <w:textAlignment w:val="center"/>
                    <w:rPr>
                      <w:rFonts w:ascii="宋体" w:hAnsi="宋体" w:eastAsia="宋体" w:cs="宋体"/>
                      <w:b/>
                      <w:bCs/>
                      <w:kern w:val="0"/>
                      <w:szCs w:val="21"/>
                    </w:rPr>
                  </w:pPr>
                  <w:r>
                    <w:rPr>
                      <w:rFonts w:hint="eastAsia" w:ascii="宋体" w:hAnsi="宋体" w:eastAsia="宋体" w:cs="宋体"/>
                      <w:b/>
                      <w:bCs/>
                      <w:kern w:val="0"/>
                      <w:szCs w:val="21"/>
                    </w:rPr>
                    <w:t>处理措施</w:t>
                  </w:r>
                </w:p>
              </w:tc>
              <w:tc>
                <w:tcPr>
                  <w:tcW w:w="424" w:type="pct"/>
                  <w:vMerge w:val="restart"/>
                  <w:vAlign w:val="center"/>
                </w:tcPr>
                <w:p>
                  <w:pPr>
                    <w:widowControl/>
                    <w:spacing w:line="300" w:lineRule="exact"/>
                    <w:jc w:val="center"/>
                    <w:textAlignment w:val="center"/>
                    <w:rPr>
                      <w:rFonts w:ascii="宋体" w:hAnsi="宋体" w:eastAsia="宋体" w:cs="宋体"/>
                      <w:b/>
                      <w:bCs/>
                      <w:kern w:val="0"/>
                      <w:szCs w:val="21"/>
                    </w:rPr>
                  </w:pPr>
                  <w:r>
                    <w:rPr>
                      <w:rFonts w:hint="eastAsia" w:ascii="宋体" w:hAnsi="宋体" w:eastAsia="宋体" w:cs="宋体"/>
                      <w:b/>
                      <w:bCs/>
                      <w:kern w:val="0"/>
                      <w:szCs w:val="21"/>
                    </w:rPr>
                    <w:t>处理效率（%）</w:t>
                  </w:r>
                </w:p>
              </w:tc>
              <w:tc>
                <w:tcPr>
                  <w:tcW w:w="466" w:type="pct"/>
                  <w:vMerge w:val="restart"/>
                  <w:vAlign w:val="center"/>
                </w:tcPr>
                <w:p>
                  <w:pPr>
                    <w:widowControl/>
                    <w:spacing w:line="300" w:lineRule="exact"/>
                    <w:jc w:val="center"/>
                    <w:textAlignment w:val="center"/>
                    <w:rPr>
                      <w:rFonts w:ascii="宋体" w:hAnsi="宋体" w:eastAsia="宋体" w:cs="宋体"/>
                      <w:b/>
                      <w:bCs/>
                      <w:kern w:val="0"/>
                      <w:szCs w:val="21"/>
                    </w:rPr>
                  </w:pPr>
                  <w:r>
                    <w:rPr>
                      <w:rFonts w:hint="eastAsia" w:ascii="宋体" w:hAnsi="宋体" w:eastAsia="宋体" w:cs="宋体"/>
                      <w:b/>
                      <w:bCs/>
                      <w:kern w:val="0"/>
                      <w:szCs w:val="21"/>
                    </w:rPr>
                    <w:t>排放量（t/a）</w:t>
                  </w:r>
                </w:p>
              </w:tc>
              <w:tc>
                <w:tcPr>
                  <w:tcW w:w="489" w:type="pct"/>
                  <w:vMerge w:val="restart"/>
                  <w:vAlign w:val="center"/>
                </w:tcPr>
                <w:p>
                  <w:pPr>
                    <w:widowControl/>
                    <w:spacing w:line="300" w:lineRule="exact"/>
                    <w:jc w:val="center"/>
                    <w:textAlignment w:val="center"/>
                    <w:rPr>
                      <w:rFonts w:ascii="宋体" w:hAnsi="宋体" w:eastAsia="宋体" w:cs="宋体"/>
                      <w:b/>
                      <w:bCs/>
                      <w:kern w:val="0"/>
                      <w:szCs w:val="21"/>
                    </w:rPr>
                  </w:pPr>
                  <w:r>
                    <w:rPr>
                      <w:rFonts w:hint="eastAsia" w:ascii="宋体" w:hAnsi="宋体" w:eastAsia="宋体" w:cs="宋体"/>
                      <w:b/>
                      <w:bCs/>
                      <w:kern w:val="0"/>
                      <w:szCs w:val="21"/>
                    </w:rPr>
                    <w:t>排放速率（kg/h）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371" w:type="pct"/>
                  <w:vMerge w:val="continue"/>
                  <w:vAlign w:val="center"/>
                </w:tcPr>
                <w:p>
                  <w:pPr>
                    <w:widowControl/>
                    <w:spacing w:line="300" w:lineRule="exact"/>
                    <w:jc w:val="center"/>
                    <w:textAlignment w:val="center"/>
                    <w:rPr>
                      <w:rFonts w:ascii="宋体" w:hAnsi="宋体" w:eastAsia="宋体" w:cs="宋体"/>
                      <w:b/>
                      <w:bCs/>
                      <w:kern w:val="0"/>
                      <w:szCs w:val="21"/>
                    </w:rPr>
                  </w:pPr>
                </w:p>
              </w:tc>
              <w:tc>
                <w:tcPr>
                  <w:tcW w:w="729" w:type="pct"/>
                  <w:vMerge w:val="continue"/>
                  <w:vAlign w:val="center"/>
                </w:tcPr>
                <w:p>
                  <w:pPr>
                    <w:widowControl/>
                    <w:spacing w:line="300" w:lineRule="exact"/>
                    <w:jc w:val="center"/>
                    <w:textAlignment w:val="center"/>
                    <w:rPr>
                      <w:rFonts w:ascii="宋体" w:hAnsi="宋体" w:eastAsia="宋体" w:cs="宋体"/>
                      <w:b/>
                      <w:bCs/>
                      <w:kern w:val="0"/>
                      <w:szCs w:val="21"/>
                    </w:rPr>
                  </w:pPr>
                </w:p>
              </w:tc>
              <w:tc>
                <w:tcPr>
                  <w:tcW w:w="571" w:type="pct"/>
                  <w:vMerge w:val="continue"/>
                  <w:vAlign w:val="center"/>
                </w:tcPr>
                <w:p>
                  <w:pPr>
                    <w:widowControl/>
                    <w:spacing w:line="300" w:lineRule="exact"/>
                    <w:jc w:val="center"/>
                    <w:textAlignment w:val="center"/>
                    <w:rPr>
                      <w:rFonts w:ascii="宋体" w:hAnsi="宋体" w:eastAsia="宋体" w:cs="宋体"/>
                      <w:b/>
                      <w:bCs/>
                      <w:kern w:val="0"/>
                      <w:szCs w:val="21"/>
                    </w:rPr>
                  </w:pPr>
                </w:p>
              </w:tc>
              <w:tc>
                <w:tcPr>
                  <w:tcW w:w="689" w:type="pct"/>
                  <w:vAlign w:val="center"/>
                </w:tcPr>
                <w:p>
                  <w:pPr>
                    <w:widowControl/>
                    <w:spacing w:line="300" w:lineRule="exact"/>
                    <w:jc w:val="center"/>
                    <w:textAlignment w:val="center"/>
                    <w:rPr>
                      <w:rFonts w:ascii="宋体" w:hAnsi="宋体" w:eastAsia="宋体" w:cs="宋体"/>
                      <w:b/>
                      <w:bCs/>
                      <w:kern w:val="0"/>
                      <w:szCs w:val="21"/>
                    </w:rPr>
                  </w:pPr>
                  <w:r>
                    <w:rPr>
                      <w:rFonts w:hint="eastAsia" w:ascii="宋体" w:hAnsi="宋体" w:eastAsia="宋体" w:cs="宋体"/>
                      <w:b/>
                      <w:bCs/>
                      <w:kern w:val="0"/>
                      <w:szCs w:val="21"/>
                    </w:rPr>
                    <w:t>80%沉降后重新利用</w:t>
                  </w:r>
                </w:p>
              </w:tc>
              <w:tc>
                <w:tcPr>
                  <w:tcW w:w="608" w:type="pct"/>
                  <w:vAlign w:val="center"/>
                </w:tcPr>
                <w:p>
                  <w:pPr>
                    <w:widowControl/>
                    <w:spacing w:line="300" w:lineRule="exact"/>
                    <w:jc w:val="center"/>
                    <w:textAlignment w:val="center"/>
                    <w:rPr>
                      <w:rFonts w:ascii="宋体" w:hAnsi="宋体" w:eastAsia="宋体" w:cs="宋体"/>
                      <w:b/>
                      <w:bCs/>
                      <w:kern w:val="0"/>
                      <w:szCs w:val="21"/>
                    </w:rPr>
                  </w:pPr>
                  <w:r>
                    <w:rPr>
                      <w:rFonts w:hint="eastAsia" w:ascii="宋体" w:hAnsi="宋体" w:eastAsia="宋体" w:cs="宋体"/>
                      <w:b/>
                      <w:bCs/>
                      <w:kern w:val="0"/>
                      <w:szCs w:val="21"/>
                    </w:rPr>
                    <w:t>20%飘在空中逸散</w:t>
                  </w:r>
                </w:p>
              </w:tc>
              <w:tc>
                <w:tcPr>
                  <w:tcW w:w="650" w:type="pct"/>
                  <w:vMerge w:val="continue"/>
                  <w:vAlign w:val="center"/>
                </w:tcPr>
                <w:p>
                  <w:pPr>
                    <w:widowControl/>
                    <w:spacing w:line="300" w:lineRule="exact"/>
                    <w:jc w:val="center"/>
                    <w:textAlignment w:val="center"/>
                    <w:rPr>
                      <w:rFonts w:ascii="宋体" w:hAnsi="宋体" w:eastAsia="宋体" w:cs="宋体"/>
                      <w:b/>
                      <w:bCs/>
                      <w:kern w:val="0"/>
                      <w:szCs w:val="21"/>
                    </w:rPr>
                  </w:pPr>
                </w:p>
              </w:tc>
              <w:tc>
                <w:tcPr>
                  <w:tcW w:w="424" w:type="pct"/>
                  <w:vMerge w:val="continue"/>
                  <w:vAlign w:val="center"/>
                </w:tcPr>
                <w:p>
                  <w:pPr>
                    <w:widowControl/>
                    <w:spacing w:line="300" w:lineRule="exact"/>
                    <w:jc w:val="center"/>
                    <w:textAlignment w:val="center"/>
                    <w:rPr>
                      <w:rFonts w:ascii="宋体" w:hAnsi="宋体" w:eastAsia="宋体" w:cs="宋体"/>
                      <w:b/>
                      <w:bCs/>
                      <w:kern w:val="0"/>
                      <w:szCs w:val="21"/>
                    </w:rPr>
                  </w:pPr>
                </w:p>
              </w:tc>
              <w:tc>
                <w:tcPr>
                  <w:tcW w:w="466" w:type="pct"/>
                  <w:vMerge w:val="continue"/>
                  <w:vAlign w:val="center"/>
                </w:tcPr>
                <w:p>
                  <w:pPr>
                    <w:widowControl/>
                    <w:spacing w:line="300" w:lineRule="exact"/>
                    <w:jc w:val="center"/>
                    <w:textAlignment w:val="center"/>
                    <w:rPr>
                      <w:rFonts w:ascii="宋体" w:hAnsi="宋体" w:eastAsia="宋体" w:cs="宋体"/>
                      <w:b/>
                      <w:bCs/>
                      <w:kern w:val="0"/>
                      <w:szCs w:val="21"/>
                    </w:rPr>
                  </w:pPr>
                </w:p>
              </w:tc>
              <w:tc>
                <w:tcPr>
                  <w:tcW w:w="489" w:type="pct"/>
                  <w:vMerge w:val="continue"/>
                  <w:vAlign w:val="center"/>
                </w:tcPr>
                <w:p>
                  <w:pPr>
                    <w:widowControl/>
                    <w:spacing w:line="300" w:lineRule="exact"/>
                    <w:jc w:val="center"/>
                    <w:textAlignment w:val="center"/>
                    <w:rPr>
                      <w:rFonts w:ascii="宋体" w:hAnsi="宋体" w:eastAsia="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1" w:type="pct"/>
                  <w:vAlign w:val="center"/>
                </w:tcPr>
                <w:p>
                  <w:pPr>
                    <w:widowControl/>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卸料</w:t>
                  </w:r>
                </w:p>
              </w:tc>
              <w:tc>
                <w:tcPr>
                  <w:tcW w:w="729" w:type="pct"/>
                  <w:vAlign w:val="center"/>
                </w:tcPr>
                <w:p>
                  <w:pPr>
                    <w:widowControl/>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0.01kg/t原料</w:t>
                  </w:r>
                </w:p>
              </w:tc>
              <w:tc>
                <w:tcPr>
                  <w:tcW w:w="571" w:type="pct"/>
                  <w:vAlign w:val="center"/>
                </w:tcPr>
                <w:p>
                  <w:pPr>
                    <w:widowControl/>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15</w:t>
                  </w:r>
                </w:p>
              </w:tc>
              <w:tc>
                <w:tcPr>
                  <w:tcW w:w="689" w:type="pct"/>
                  <w:vAlign w:val="center"/>
                </w:tcPr>
                <w:p>
                  <w:pPr>
                    <w:widowControl/>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12</w:t>
                  </w:r>
                </w:p>
              </w:tc>
              <w:tc>
                <w:tcPr>
                  <w:tcW w:w="608" w:type="pct"/>
                  <w:vAlign w:val="center"/>
                </w:tcPr>
                <w:p>
                  <w:pPr>
                    <w:widowControl/>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3</w:t>
                  </w:r>
                </w:p>
              </w:tc>
              <w:tc>
                <w:tcPr>
                  <w:tcW w:w="650" w:type="pct"/>
                  <w:vMerge w:val="restart"/>
                  <w:vAlign w:val="center"/>
                </w:tcPr>
                <w:p>
                  <w:pPr>
                    <w:widowControl/>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增加厂区地面清扫频率，同时不定时洒水抑尘</w:t>
                  </w:r>
                </w:p>
              </w:tc>
              <w:tc>
                <w:tcPr>
                  <w:tcW w:w="424" w:type="pct"/>
                  <w:vMerge w:val="restart"/>
                  <w:vAlign w:val="center"/>
                </w:tcPr>
                <w:p>
                  <w:pPr>
                    <w:widowControl/>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90</w:t>
                  </w:r>
                </w:p>
              </w:tc>
              <w:tc>
                <w:tcPr>
                  <w:tcW w:w="466" w:type="pct"/>
                  <w:vAlign w:val="center"/>
                </w:tcPr>
                <w:p>
                  <w:pPr>
                    <w:widowControl/>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0.3</w:t>
                  </w:r>
                </w:p>
              </w:tc>
              <w:tc>
                <w:tcPr>
                  <w:tcW w:w="489" w:type="pct"/>
                  <w:vAlign w:val="center"/>
                </w:tcPr>
                <w:p>
                  <w:pPr>
                    <w:widowControl/>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0.042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1" w:type="pct"/>
                  <w:vAlign w:val="center"/>
                </w:tcPr>
                <w:p>
                  <w:pPr>
                    <w:widowControl/>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装货</w:t>
                  </w:r>
                </w:p>
              </w:tc>
              <w:tc>
                <w:tcPr>
                  <w:tcW w:w="729" w:type="pct"/>
                  <w:vAlign w:val="center"/>
                </w:tcPr>
                <w:p>
                  <w:pPr>
                    <w:widowControl/>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0.01kg/t成品</w:t>
                  </w:r>
                </w:p>
              </w:tc>
              <w:tc>
                <w:tcPr>
                  <w:tcW w:w="571" w:type="pct"/>
                  <w:vAlign w:val="center"/>
                </w:tcPr>
                <w:p>
                  <w:pPr>
                    <w:widowControl/>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15</w:t>
                  </w:r>
                </w:p>
              </w:tc>
              <w:tc>
                <w:tcPr>
                  <w:tcW w:w="689" w:type="pct"/>
                  <w:vAlign w:val="center"/>
                </w:tcPr>
                <w:p>
                  <w:pPr>
                    <w:widowControl/>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12</w:t>
                  </w:r>
                </w:p>
              </w:tc>
              <w:tc>
                <w:tcPr>
                  <w:tcW w:w="608" w:type="pct"/>
                  <w:vAlign w:val="center"/>
                </w:tcPr>
                <w:p>
                  <w:pPr>
                    <w:widowControl/>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3</w:t>
                  </w:r>
                </w:p>
              </w:tc>
              <w:tc>
                <w:tcPr>
                  <w:tcW w:w="650" w:type="pct"/>
                  <w:vMerge w:val="continue"/>
                  <w:vAlign w:val="center"/>
                </w:tcPr>
                <w:p>
                  <w:pPr>
                    <w:widowControl/>
                    <w:spacing w:line="300" w:lineRule="exact"/>
                    <w:jc w:val="center"/>
                    <w:textAlignment w:val="center"/>
                    <w:rPr>
                      <w:rFonts w:ascii="宋体" w:hAnsi="宋体" w:eastAsia="宋体" w:cs="宋体"/>
                      <w:kern w:val="0"/>
                      <w:szCs w:val="21"/>
                    </w:rPr>
                  </w:pPr>
                </w:p>
              </w:tc>
              <w:tc>
                <w:tcPr>
                  <w:tcW w:w="424" w:type="pct"/>
                  <w:vMerge w:val="continue"/>
                  <w:vAlign w:val="center"/>
                </w:tcPr>
                <w:p>
                  <w:pPr>
                    <w:widowControl/>
                    <w:spacing w:line="300" w:lineRule="exact"/>
                    <w:jc w:val="center"/>
                    <w:textAlignment w:val="center"/>
                    <w:rPr>
                      <w:rFonts w:ascii="宋体" w:hAnsi="宋体" w:eastAsia="宋体" w:cs="宋体"/>
                      <w:kern w:val="0"/>
                      <w:szCs w:val="21"/>
                    </w:rPr>
                  </w:pPr>
                </w:p>
              </w:tc>
              <w:tc>
                <w:tcPr>
                  <w:tcW w:w="466" w:type="pct"/>
                  <w:vAlign w:val="center"/>
                </w:tcPr>
                <w:p>
                  <w:pPr>
                    <w:widowControl/>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0.3</w:t>
                  </w:r>
                </w:p>
              </w:tc>
              <w:tc>
                <w:tcPr>
                  <w:tcW w:w="489" w:type="pct"/>
                  <w:vAlign w:val="center"/>
                </w:tcPr>
                <w:p>
                  <w:pPr>
                    <w:widowControl/>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0.042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0" w:type="pct"/>
                  <w:gridSpan w:val="2"/>
                  <w:vAlign w:val="center"/>
                </w:tcPr>
                <w:p>
                  <w:pPr>
                    <w:widowControl/>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合计</w:t>
                  </w:r>
                </w:p>
              </w:tc>
              <w:tc>
                <w:tcPr>
                  <w:tcW w:w="571" w:type="pct"/>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30</w:t>
                  </w:r>
                </w:p>
              </w:tc>
              <w:tc>
                <w:tcPr>
                  <w:tcW w:w="689" w:type="pct"/>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24</w:t>
                  </w:r>
                </w:p>
              </w:tc>
              <w:tc>
                <w:tcPr>
                  <w:tcW w:w="608" w:type="pct"/>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6</w:t>
                  </w:r>
                </w:p>
              </w:tc>
              <w:tc>
                <w:tcPr>
                  <w:tcW w:w="650" w:type="pct"/>
                  <w:vMerge w:val="continue"/>
                  <w:vAlign w:val="center"/>
                </w:tcPr>
                <w:p>
                  <w:pPr>
                    <w:widowControl/>
                    <w:spacing w:line="300" w:lineRule="exact"/>
                    <w:jc w:val="center"/>
                    <w:textAlignment w:val="center"/>
                    <w:rPr>
                      <w:rFonts w:ascii="宋体" w:hAnsi="宋体" w:eastAsia="宋体" w:cs="宋体"/>
                      <w:kern w:val="0"/>
                      <w:szCs w:val="21"/>
                    </w:rPr>
                  </w:pPr>
                </w:p>
              </w:tc>
              <w:tc>
                <w:tcPr>
                  <w:tcW w:w="424" w:type="pct"/>
                  <w:vMerge w:val="continue"/>
                  <w:vAlign w:val="center"/>
                </w:tcPr>
                <w:p>
                  <w:pPr>
                    <w:widowControl/>
                    <w:spacing w:line="300" w:lineRule="exact"/>
                    <w:jc w:val="center"/>
                    <w:textAlignment w:val="center"/>
                    <w:rPr>
                      <w:rFonts w:ascii="宋体" w:hAnsi="宋体" w:eastAsia="宋体" w:cs="宋体"/>
                      <w:kern w:val="0"/>
                      <w:szCs w:val="21"/>
                    </w:rPr>
                  </w:pPr>
                </w:p>
              </w:tc>
              <w:tc>
                <w:tcPr>
                  <w:tcW w:w="466" w:type="pct"/>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0.6</w:t>
                  </w:r>
                </w:p>
              </w:tc>
              <w:tc>
                <w:tcPr>
                  <w:tcW w:w="489" w:type="pct"/>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0.084</w:t>
                  </w:r>
                </w:p>
              </w:tc>
            </w:tr>
          </w:tbl>
          <w:p>
            <w:pPr>
              <w:spacing w:line="360" w:lineRule="auto"/>
              <w:ind w:firstLine="480" w:firstLineChars="200"/>
              <w:jc w:val="left"/>
              <w:rPr>
                <w:rFonts w:ascii="Times New Roman" w:hAnsi="Times New Roman" w:eastAsia="宋体" w:cs="Times New Roman"/>
                <w:bCs/>
                <w:sz w:val="24"/>
              </w:rPr>
            </w:pPr>
            <w:r>
              <w:rPr>
                <w:sz w:val="24"/>
              </w:rPr>
              <w:t>采取措施后</w:t>
            </w:r>
            <w:r>
              <w:rPr>
                <w:rFonts w:hint="eastAsia"/>
                <w:sz w:val="24"/>
              </w:rPr>
              <w:t>，堆场起尘量约为</w:t>
            </w:r>
            <w:r>
              <w:rPr>
                <w:rFonts w:hint="eastAsia"/>
                <w:kern w:val="0"/>
                <w:sz w:val="24"/>
              </w:rPr>
              <w:t>0.06</w:t>
            </w:r>
            <w:r>
              <w:rPr>
                <w:rFonts w:hint="eastAsia"/>
                <w:sz w:val="24"/>
              </w:rPr>
              <w:t>t/a（0.084kg/h）。</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（4）道路运输扬尘</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运输道路扬尘主要在外界风力或车辆运动使聚集于道路表面的颗粒物进入环境污染空气，扬尘大小与路面颗粒物沉积量、车流量、路况及气象条件因素有关，扬尘飞扬距离还与颗粒物粒径大小、分布有关。</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计算公式如下：</w:t>
            </w:r>
          </w:p>
          <w:p>
            <w:pPr>
              <w:spacing w:line="360" w:lineRule="auto"/>
              <w:ind w:firstLine="480" w:firstLineChars="200"/>
              <w:jc w:val="center"/>
              <w:rPr>
                <w:rFonts w:ascii="Times New Roman" w:hAnsi="Times New Roman" w:eastAsia="宋体" w:cs="Times New Roman"/>
                <w:sz w:val="24"/>
              </w:rPr>
            </w:pPr>
            <w:r>
              <w:rPr>
                <w:rFonts w:hint="eastAsia" w:ascii="Times New Roman" w:hAnsi="Times New Roman" w:eastAsia="宋体" w:cs="Times New Roman"/>
                <w:sz w:val="24"/>
              </w:rPr>
              <w:object>
                <v:shape id="_x0000_i1026" o:spt="75" type="#_x0000_t75" style="height:21.05pt;width:199.8pt;" o:ole="t" filled="f" o:preferrelative="t" stroked="f" coordsize="21600,21600">
                  <v:path/>
                  <v:fill on="f" focussize="0,0"/>
                  <v:stroke on="f" joinstyle="miter"/>
                  <v:imagedata r:id="rId13" o:title=""/>
                  <o:lock v:ext="edit" aspectratio="t"/>
                  <w10:wrap type="none"/>
                  <w10:anchorlock/>
                </v:shape>
                <o:OLEObject Type="Embed" ProgID="Equation.3" ShapeID="_x0000_i1026" DrawAspect="Content" ObjectID="_1468075726" r:id="rId12">
                  <o:LockedField>false</o:LockedField>
                </o:OLEObject>
              </w:object>
            </w:r>
          </w:p>
          <w:p>
            <w:pPr>
              <w:spacing w:line="360" w:lineRule="auto"/>
              <w:ind w:firstLine="480" w:firstLineChars="200"/>
              <w:jc w:val="center"/>
              <w:rPr>
                <w:rFonts w:ascii="Times New Roman" w:hAnsi="Times New Roman" w:eastAsia="宋体" w:cs="Times New Roman"/>
                <w:sz w:val="24"/>
              </w:rPr>
            </w:pPr>
            <w:r>
              <w:rPr>
                <w:rFonts w:hint="eastAsia" w:ascii="Times New Roman" w:hAnsi="Times New Roman" w:eastAsia="宋体" w:cs="Times New Roman"/>
                <w:sz w:val="24"/>
              </w:rPr>
              <w:object>
                <v:shape id="_x0000_i1027" o:spt="75" type="#_x0000_t75" style="height:17pt;width:99.2pt;" o:ole="t" filled="f" o:preferrelative="t" stroked="f" coordsize="21600,21600">
                  <v:path/>
                  <v:fill on="f" focussize="0,0"/>
                  <v:stroke on="f" joinstyle="miter"/>
                  <v:imagedata r:id="rId15" o:title=""/>
                  <o:lock v:ext="edit" aspectratio="t"/>
                  <w10:wrap type="none"/>
                  <w10:anchorlock/>
                </v:shape>
                <o:OLEObject Type="Embed" ProgID="Equation.3" ShapeID="_x0000_i1027" DrawAspect="Content" ObjectID="_1468075727" r:id="rId14">
                  <o:LockedField>false</o:LockedField>
                </o:OLEObject>
              </w:objec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式中：Qp———汽车行驶的扬尘，kg/kmX辆</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 xml:space="preserve">      Qp1———运输途中起尘总量，kg/a</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 xml:space="preserve">      V——车辆行驶速度，km/h（10km/h）</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 xml:space="preserve">      M——车辆载重量，t/辆（30t/辆）</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 xml:space="preserve">      P——路面灰尘覆盖率，kg/m</w:t>
            </w:r>
            <w:r>
              <w:rPr>
                <w:rFonts w:hint="eastAsia" w:ascii="Times New Roman" w:hAnsi="Times New Roman" w:eastAsia="宋体" w:cs="Times New Roman"/>
                <w:sz w:val="24"/>
                <w:vertAlign w:val="superscript"/>
              </w:rPr>
              <w:t>2</w:t>
            </w:r>
            <w:r>
              <w:rPr>
                <w:rFonts w:hint="eastAsia" w:ascii="Times New Roman" w:hAnsi="Times New Roman" w:eastAsia="宋体" w:cs="Times New Roman"/>
                <w:sz w:val="24"/>
              </w:rPr>
              <w:t>（取0.1）</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 xml:space="preserve">      L——运输距离，km（场区到主干线的距离为0.3km）</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 xml:space="preserve">      Q——运输量，t/a（150000t/a）</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根据以上公式，计算得出运输道路起尘量为0.405t/a。</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本次评价要求：厂区内的运输道路要进行硬化，且经常清扫、洒水抑尘；运输车辆必须加盖篷布，不得超载，限速行驶，尽量减少运输过程中物料抛洒泄露及粉尘飞扬，车辆在进出厂区必须经车辆自动冲洗装置进行冲洗，采取以上措施后，可减少扬尘90%，即排放量为0.0405t/a。</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（5）输送带粉尘</w:t>
            </w:r>
          </w:p>
          <w:p>
            <w:pPr>
              <w:spacing w:line="360" w:lineRule="auto"/>
              <w:ind w:firstLine="480" w:firstLineChars="200"/>
              <w:rPr>
                <w:rFonts w:cs="宋体"/>
                <w:sz w:val="24"/>
              </w:rPr>
            </w:pPr>
            <w:r>
              <w:rPr>
                <w:rFonts w:hint="eastAsia" w:cs="宋体"/>
                <w:sz w:val="24"/>
              </w:rPr>
              <w:t>项目输送粉尘主要</w:t>
            </w:r>
            <w:r>
              <w:rPr>
                <w:rFonts w:hint="eastAsia" w:cs="宋体"/>
                <w:sz w:val="24"/>
                <w:lang w:eastAsia="zh-CN"/>
              </w:rPr>
              <w:t>来自</w:t>
            </w:r>
            <w:r>
              <w:rPr>
                <w:rFonts w:hint="eastAsia" w:cs="宋体"/>
                <w:sz w:val="24"/>
              </w:rPr>
              <w:t>物料输送转运时产生的粉尘，根据《逸散性工业粉尘控制技术》（中国环境科学出版社），粉尘排放因子为0.002kg/t（原料），产生量约为0.3t/a，产生速率为0.183kg/h；项目采用半封闭式输送带，且物料采用湿式筛分工序，物料含水率较高，起尘量较低，项目生产线上方设置雾化喷头洒水抑尘，处理效率约90%，无组织输送粉尘排放量为0.03t/a，排放速率为0.0183kg/h。</w:t>
            </w:r>
          </w:p>
          <w:p>
            <w:pPr>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废气产生及排放情况如下：</w:t>
            </w:r>
          </w:p>
          <w:p>
            <w:pPr>
              <w:adjustRightInd w:val="0"/>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表4</w:t>
            </w:r>
            <w:r>
              <w:rPr>
                <w:rFonts w:hint="eastAsia" w:ascii="Times New Roman" w:hAnsi="Times New Roman" w:eastAsia="宋体" w:cs="Times New Roman"/>
                <w:b/>
                <w:bCs/>
                <w:szCs w:val="21"/>
              </w:rPr>
              <w:t>-6</w:t>
            </w:r>
            <w:r>
              <w:rPr>
                <w:rFonts w:ascii="Times New Roman" w:hAnsi="Times New Roman" w:eastAsia="宋体" w:cs="Times New Roman"/>
                <w:b/>
                <w:bCs/>
                <w:szCs w:val="21"/>
              </w:rPr>
              <w:t xml:space="preserve"> 废气产生及排放情况一览表</w:t>
            </w:r>
          </w:p>
          <w:tbl>
            <w:tblPr>
              <w:tblStyle w:val="29"/>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24"/>
              <w:gridCol w:w="2896"/>
              <w:gridCol w:w="1541"/>
              <w:gridCol w:w="1113"/>
              <w:gridCol w:w="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4" w:hRule="atLeast"/>
              </w:trPr>
              <w:tc>
                <w:tcPr>
                  <w:tcW w:w="748" w:type="pct"/>
                  <w:vMerge w:val="restart"/>
                  <w:vAlign w:val="center"/>
                </w:tcPr>
                <w:p>
                  <w:pPr>
                    <w:jc w:val="center"/>
                    <w:rPr>
                      <w:rFonts w:ascii="Times New Roman" w:hAnsi="Times New Roman" w:cs="Times New Roman"/>
                      <w:b/>
                      <w:bCs/>
                      <w:kern w:val="0"/>
                      <w:szCs w:val="21"/>
                    </w:rPr>
                  </w:pPr>
                  <w:r>
                    <w:rPr>
                      <w:rFonts w:ascii="Times New Roman" w:hAnsi="Times New Roman" w:cs="Times New Roman"/>
                      <w:b/>
                      <w:bCs/>
                      <w:kern w:val="0"/>
                      <w:szCs w:val="21"/>
                    </w:rPr>
                    <w:t>排放源</w:t>
                  </w:r>
                </w:p>
              </w:tc>
              <w:tc>
                <w:tcPr>
                  <w:tcW w:w="1925" w:type="pct"/>
                  <w:vMerge w:val="restart"/>
                  <w:vAlign w:val="center"/>
                </w:tcPr>
                <w:p>
                  <w:pPr>
                    <w:jc w:val="center"/>
                    <w:rPr>
                      <w:rFonts w:ascii="Times New Roman" w:hAnsi="Times New Roman" w:eastAsia="宋体" w:cs="Times New Roman"/>
                      <w:b/>
                      <w:bCs/>
                      <w:kern w:val="0"/>
                      <w:szCs w:val="21"/>
                    </w:rPr>
                  </w:pPr>
                  <w:r>
                    <w:rPr>
                      <w:rFonts w:ascii="Times New Roman" w:hAnsi="Times New Roman" w:cs="Times New Roman"/>
                      <w:b/>
                      <w:bCs/>
                      <w:szCs w:val="21"/>
                    </w:rPr>
                    <w:t>主要污染防治措施</w:t>
                  </w:r>
                </w:p>
              </w:tc>
              <w:tc>
                <w:tcPr>
                  <w:tcW w:w="1765" w:type="pct"/>
                  <w:gridSpan w:val="2"/>
                  <w:vAlign w:val="center"/>
                </w:tcPr>
                <w:p>
                  <w:pPr>
                    <w:jc w:val="center"/>
                    <w:rPr>
                      <w:rFonts w:ascii="Times New Roman" w:hAnsi="Times New Roman" w:cs="Times New Roman"/>
                      <w:b/>
                      <w:bCs/>
                      <w:szCs w:val="21"/>
                    </w:rPr>
                  </w:pPr>
                  <w:r>
                    <w:rPr>
                      <w:rFonts w:ascii="Times New Roman" w:hAnsi="Times New Roman" w:cs="Times New Roman"/>
                      <w:b/>
                      <w:bCs/>
                      <w:szCs w:val="21"/>
                    </w:rPr>
                    <w:t>国家或地方污染物</w:t>
                  </w:r>
                </w:p>
                <w:p>
                  <w:pPr>
                    <w:jc w:val="center"/>
                    <w:rPr>
                      <w:rFonts w:ascii="Times New Roman" w:hAnsi="Times New Roman" w:cs="Times New Roman"/>
                      <w:b/>
                      <w:bCs/>
                      <w:kern w:val="0"/>
                      <w:szCs w:val="21"/>
                    </w:rPr>
                  </w:pPr>
                  <w:r>
                    <w:rPr>
                      <w:rFonts w:ascii="Times New Roman" w:hAnsi="Times New Roman" w:cs="Times New Roman"/>
                      <w:b/>
                      <w:bCs/>
                      <w:szCs w:val="21"/>
                    </w:rPr>
                    <w:t>排放标准</w:t>
                  </w:r>
                </w:p>
              </w:tc>
              <w:tc>
                <w:tcPr>
                  <w:tcW w:w="560" w:type="pct"/>
                  <w:vMerge w:val="restart"/>
                  <w:vAlign w:val="center"/>
                </w:tcPr>
                <w:p>
                  <w:pPr>
                    <w:jc w:val="center"/>
                    <w:rPr>
                      <w:rFonts w:ascii="Times New Roman" w:hAnsi="Times New Roman" w:cs="Times New Roman"/>
                      <w:b/>
                      <w:bCs/>
                      <w:kern w:val="0"/>
                      <w:szCs w:val="21"/>
                    </w:rPr>
                  </w:pPr>
                  <w:r>
                    <w:rPr>
                      <w:rFonts w:ascii="Times New Roman" w:hAnsi="Times New Roman" w:cs="Times New Roman"/>
                      <w:b/>
                      <w:bCs/>
                      <w:kern w:val="0"/>
                      <w:szCs w:val="21"/>
                    </w:rPr>
                    <w:t>排放量</w:t>
                  </w:r>
                </w:p>
                <w:p>
                  <w:pPr>
                    <w:jc w:val="center"/>
                    <w:rPr>
                      <w:rFonts w:ascii="Times New Roman" w:hAnsi="Times New Roman" w:eastAsia="宋体" w:cs="Times New Roman"/>
                      <w:b/>
                      <w:bCs/>
                      <w:kern w:val="0"/>
                      <w:szCs w:val="21"/>
                    </w:rPr>
                  </w:pPr>
                  <w:r>
                    <w:rPr>
                      <w:rFonts w:ascii="Times New Roman" w:hAnsi="Times New Roman" w:cs="Times New Roman"/>
                      <w:b/>
                      <w:bCs/>
                      <w:kern w:val="0"/>
                      <w:szCs w:val="21"/>
                    </w:rPr>
                    <w:t>（t/a）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48" w:type="pct"/>
                  <w:vMerge w:val="continue"/>
                  <w:vAlign w:val="center"/>
                </w:tcPr>
                <w:p>
                  <w:pPr>
                    <w:jc w:val="center"/>
                    <w:rPr>
                      <w:rFonts w:ascii="Times New Roman" w:hAnsi="Times New Roman" w:cs="Times New Roman"/>
                      <w:b/>
                      <w:bCs/>
                      <w:szCs w:val="21"/>
                    </w:rPr>
                  </w:pPr>
                </w:p>
              </w:tc>
              <w:tc>
                <w:tcPr>
                  <w:tcW w:w="1925" w:type="pct"/>
                  <w:vMerge w:val="continue"/>
                  <w:vAlign w:val="center"/>
                </w:tcPr>
                <w:p>
                  <w:pPr>
                    <w:jc w:val="center"/>
                    <w:rPr>
                      <w:rFonts w:ascii="Times New Roman" w:hAnsi="Times New Roman" w:cs="Times New Roman"/>
                      <w:b/>
                      <w:bCs/>
                      <w:szCs w:val="21"/>
                    </w:rPr>
                  </w:pPr>
                </w:p>
              </w:tc>
              <w:tc>
                <w:tcPr>
                  <w:tcW w:w="1025" w:type="pct"/>
                  <w:vAlign w:val="center"/>
                </w:tcPr>
                <w:p>
                  <w:pPr>
                    <w:keepLines/>
                    <w:kinsoku w:val="0"/>
                    <w:overflowPunct w:val="0"/>
                    <w:autoSpaceDE w:val="0"/>
                    <w:autoSpaceDN w:val="0"/>
                    <w:jc w:val="center"/>
                    <w:rPr>
                      <w:rFonts w:ascii="Times New Roman" w:hAnsi="Times New Roman" w:cs="Times New Roman"/>
                      <w:b/>
                      <w:bCs/>
                      <w:kern w:val="0"/>
                      <w:szCs w:val="21"/>
                    </w:rPr>
                  </w:pPr>
                  <w:r>
                    <w:rPr>
                      <w:rFonts w:ascii="Times New Roman" w:hAnsi="Times New Roman" w:cs="Times New Roman"/>
                      <w:b/>
                      <w:bCs/>
                      <w:szCs w:val="21"/>
                    </w:rPr>
                    <w:t>标准名称</w:t>
                  </w:r>
                </w:p>
              </w:tc>
              <w:tc>
                <w:tcPr>
                  <w:tcW w:w="739" w:type="pct"/>
                  <w:vAlign w:val="center"/>
                </w:tcPr>
                <w:p>
                  <w:pPr>
                    <w:keepLines/>
                    <w:kinsoku w:val="0"/>
                    <w:overflowPunct w:val="0"/>
                    <w:autoSpaceDE w:val="0"/>
                    <w:autoSpaceDN w:val="0"/>
                    <w:jc w:val="center"/>
                    <w:rPr>
                      <w:rFonts w:ascii="Times New Roman" w:hAnsi="Times New Roman" w:cs="Times New Roman"/>
                      <w:b/>
                      <w:bCs/>
                      <w:szCs w:val="21"/>
                    </w:rPr>
                  </w:pPr>
                  <w:r>
                    <w:rPr>
                      <w:rFonts w:ascii="Times New Roman" w:hAnsi="Times New Roman" w:cs="Times New Roman"/>
                      <w:b/>
                      <w:bCs/>
                      <w:szCs w:val="21"/>
                    </w:rPr>
                    <w:t>浓度限值</w:t>
                  </w:r>
                </w:p>
                <w:p>
                  <w:pPr>
                    <w:keepLines/>
                    <w:kinsoku w:val="0"/>
                    <w:overflowPunct w:val="0"/>
                    <w:autoSpaceDE w:val="0"/>
                    <w:autoSpaceDN w:val="0"/>
                    <w:jc w:val="center"/>
                    <w:rPr>
                      <w:rFonts w:ascii="Times New Roman" w:hAnsi="Times New Roman" w:eastAsia="宋体" w:cs="Times New Roman"/>
                      <w:b/>
                      <w:bCs/>
                      <w:kern w:val="0"/>
                      <w:szCs w:val="21"/>
                    </w:rPr>
                  </w:pPr>
                  <w:r>
                    <w:rPr>
                      <w:rFonts w:ascii="Times New Roman" w:hAnsi="Times New Roman" w:cs="Times New Roman"/>
                      <w:b/>
                      <w:bCs/>
                      <w:szCs w:val="21"/>
                    </w:rPr>
                    <w:t>(μg /m</w:t>
                  </w:r>
                  <w:r>
                    <w:rPr>
                      <w:rFonts w:ascii="Times New Roman" w:hAnsi="Times New Roman" w:cs="Times New Roman"/>
                      <w:b/>
                      <w:bCs/>
                      <w:szCs w:val="21"/>
                      <w:vertAlign w:val="superscript"/>
                    </w:rPr>
                    <w:t>3</w:t>
                  </w:r>
                  <w:r>
                    <w:rPr>
                      <w:rFonts w:ascii="Times New Roman" w:hAnsi="Times New Roman" w:cs="Times New Roman"/>
                      <w:b/>
                      <w:bCs/>
                      <w:szCs w:val="21"/>
                    </w:rPr>
                    <w:t>)</w:t>
                  </w:r>
                </w:p>
              </w:tc>
              <w:tc>
                <w:tcPr>
                  <w:tcW w:w="560" w:type="pct"/>
                  <w:vMerge w:val="continue"/>
                  <w:vAlign w:val="center"/>
                </w:tcPr>
                <w:p>
                  <w:pPr>
                    <w:jc w:val="center"/>
                    <w:rPr>
                      <w:rFonts w:ascii="Times New Roman" w:hAnsi="Times New Roman" w:cs="Times New Roman"/>
                      <w:b/>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48" w:type="pct"/>
                  <w:vAlign w:val="center"/>
                </w:tcPr>
                <w:p>
                  <w:pPr>
                    <w:jc w:val="center"/>
                    <w:rPr>
                      <w:rFonts w:ascii="Times New Roman" w:hAnsi="Times New Roman" w:cs="Times New Roman"/>
                      <w:kern w:val="0"/>
                      <w:szCs w:val="21"/>
                    </w:rPr>
                  </w:pPr>
                  <w:r>
                    <w:rPr>
                      <w:rFonts w:ascii="Times New Roman" w:hAnsi="Times New Roman" w:cs="Times New Roman"/>
                      <w:kern w:val="0"/>
                      <w:szCs w:val="21"/>
                    </w:rPr>
                    <w:t>破碎</w:t>
                  </w:r>
                  <w:r>
                    <w:rPr>
                      <w:rFonts w:hint="eastAsia" w:ascii="Times New Roman" w:hAnsi="Times New Roman" w:cs="Times New Roman"/>
                      <w:kern w:val="0"/>
                      <w:szCs w:val="21"/>
                    </w:rPr>
                    <w:t>、</w:t>
                  </w:r>
                  <w:r>
                    <w:rPr>
                      <w:rFonts w:ascii="Times New Roman" w:hAnsi="Times New Roman" w:cs="Times New Roman"/>
                      <w:kern w:val="0"/>
                      <w:szCs w:val="21"/>
                    </w:rPr>
                    <w:t>筛分</w:t>
                  </w:r>
                </w:p>
              </w:tc>
              <w:tc>
                <w:tcPr>
                  <w:tcW w:w="1925" w:type="pct"/>
                  <w:vAlign w:val="center"/>
                </w:tcPr>
                <w:p>
                  <w:pPr>
                    <w:jc w:val="center"/>
                    <w:rPr>
                      <w:rFonts w:ascii="Times New Roman" w:hAnsi="Times New Roman" w:cs="Times New Roman"/>
                      <w:kern w:val="0"/>
                      <w:szCs w:val="21"/>
                    </w:rPr>
                  </w:pPr>
                  <w:r>
                    <w:rPr>
                      <w:rFonts w:ascii="Times New Roman" w:hAnsi="Times New Roman" w:cs="Times New Roman"/>
                      <w:kern w:val="0"/>
                      <w:szCs w:val="21"/>
                      <w:lang w:bidi="ar"/>
                    </w:rPr>
                    <w:t>封闭厂房；</w:t>
                  </w:r>
                  <w:r>
                    <w:rPr>
                      <w:rFonts w:ascii="Times New Roman" w:hAnsi="Times New Roman" w:eastAsia="宋体" w:cs="Times New Roman"/>
                      <w:kern w:val="0"/>
                      <w:szCs w:val="21"/>
                      <w:lang w:bidi="ar"/>
                    </w:rPr>
                    <w:t>破碎</w:t>
                  </w:r>
                  <w:r>
                    <w:rPr>
                      <w:rFonts w:ascii="Times New Roman" w:hAnsi="Times New Roman" w:cs="Times New Roman"/>
                      <w:kern w:val="0"/>
                      <w:szCs w:val="21"/>
                      <w:lang w:bidi="ar"/>
                    </w:rPr>
                    <w:t>机进出料口安装喷雾除尘设施；筛分机进出料口安装</w:t>
                  </w:r>
                  <w:r>
                    <w:rPr>
                      <w:rFonts w:hint="eastAsia" w:ascii="Times New Roman" w:hAnsi="Times New Roman" w:cs="Times New Roman"/>
                      <w:kern w:val="0"/>
                      <w:szCs w:val="21"/>
                      <w:lang w:bidi="ar"/>
                    </w:rPr>
                    <w:t>洒水</w:t>
                  </w:r>
                  <w:r>
                    <w:rPr>
                      <w:rFonts w:ascii="Times New Roman" w:hAnsi="Times New Roman" w:cs="Times New Roman"/>
                      <w:kern w:val="0"/>
                      <w:szCs w:val="21"/>
                      <w:lang w:bidi="ar"/>
                    </w:rPr>
                    <w:t>除尘设施；厂房设置喷雾除尘设施</w:t>
                  </w:r>
                  <w:r>
                    <w:rPr>
                      <w:rFonts w:hint="eastAsia" w:ascii="Times New Roman" w:hAnsi="Times New Roman" w:cs="Times New Roman"/>
                      <w:kern w:val="0"/>
                      <w:szCs w:val="21"/>
                      <w:lang w:bidi="ar"/>
                    </w:rPr>
                    <w:t>。</w:t>
                  </w:r>
                </w:p>
              </w:tc>
              <w:tc>
                <w:tcPr>
                  <w:tcW w:w="1025" w:type="pct"/>
                  <w:vMerge w:val="restart"/>
                  <w:vAlign w:val="center"/>
                </w:tcPr>
                <w:p>
                  <w:pPr>
                    <w:keepLines/>
                    <w:kinsoku w:val="0"/>
                    <w:overflowPunct w:val="0"/>
                    <w:autoSpaceDE w:val="0"/>
                    <w:autoSpaceDN w:val="0"/>
                    <w:adjustRightInd w:val="0"/>
                    <w:snapToGrid w:val="0"/>
                    <w:jc w:val="center"/>
                    <w:rPr>
                      <w:rFonts w:ascii="Times New Roman" w:hAnsi="Times New Roman" w:cs="Times New Roman"/>
                      <w:szCs w:val="21"/>
                    </w:rPr>
                  </w:pPr>
                  <w:r>
                    <w:rPr>
                      <w:rFonts w:ascii="Times New Roman" w:hAnsi="Times New Roman" w:cs="Times New Roman"/>
                      <w:szCs w:val="21"/>
                    </w:rPr>
                    <w:t>《大气污</w:t>
                  </w:r>
                </w:p>
                <w:p>
                  <w:pPr>
                    <w:keepLines/>
                    <w:kinsoku w:val="0"/>
                    <w:overflowPunct w:val="0"/>
                    <w:autoSpaceDE w:val="0"/>
                    <w:autoSpaceDN w:val="0"/>
                    <w:adjustRightInd w:val="0"/>
                    <w:snapToGrid w:val="0"/>
                    <w:jc w:val="center"/>
                    <w:rPr>
                      <w:rFonts w:ascii="Times New Roman" w:hAnsi="Times New Roman" w:cs="Times New Roman"/>
                      <w:szCs w:val="21"/>
                    </w:rPr>
                  </w:pPr>
                  <w:r>
                    <w:rPr>
                      <w:rFonts w:ascii="Times New Roman" w:hAnsi="Times New Roman" w:cs="Times New Roman"/>
                      <w:szCs w:val="21"/>
                    </w:rPr>
                    <w:t>染物综合</w:t>
                  </w:r>
                </w:p>
                <w:p>
                  <w:pPr>
                    <w:jc w:val="center"/>
                    <w:rPr>
                      <w:rFonts w:ascii="Times New Roman" w:hAnsi="Times New Roman" w:cs="Times New Roman"/>
                      <w:szCs w:val="21"/>
                    </w:rPr>
                  </w:pPr>
                  <w:r>
                    <w:rPr>
                      <w:rFonts w:ascii="Times New Roman" w:hAnsi="Times New Roman" w:cs="Times New Roman"/>
                      <w:szCs w:val="21"/>
                    </w:rPr>
                    <w:t>排放标准》（GB1629</w:t>
                  </w:r>
                </w:p>
                <w:p>
                  <w:pPr>
                    <w:jc w:val="center"/>
                    <w:rPr>
                      <w:rFonts w:ascii="Times New Roman" w:hAnsi="Times New Roman" w:eastAsia="宋体" w:cs="Times New Roman"/>
                      <w:kern w:val="0"/>
                      <w:szCs w:val="21"/>
                    </w:rPr>
                  </w:pPr>
                  <w:r>
                    <w:rPr>
                      <w:rFonts w:ascii="Times New Roman" w:hAnsi="Times New Roman" w:cs="Times New Roman"/>
                      <w:szCs w:val="21"/>
                    </w:rPr>
                    <w:t>7-1996）</w:t>
                  </w:r>
                </w:p>
              </w:tc>
              <w:tc>
                <w:tcPr>
                  <w:tcW w:w="739" w:type="pct"/>
                  <w:vMerge w:val="restart"/>
                  <w:vAlign w:val="center"/>
                </w:tcPr>
                <w:p>
                  <w:pPr>
                    <w:jc w:val="center"/>
                    <w:rPr>
                      <w:rFonts w:ascii="Times New Roman" w:hAnsi="Times New Roman" w:eastAsia="宋体" w:cs="Times New Roman"/>
                      <w:kern w:val="0"/>
                      <w:szCs w:val="21"/>
                    </w:rPr>
                  </w:pPr>
                  <w:r>
                    <w:rPr>
                      <w:rFonts w:ascii="Times New Roman" w:hAnsi="Times New Roman" w:cs="Times New Roman"/>
                      <w:kern w:val="0"/>
                      <w:szCs w:val="21"/>
                    </w:rPr>
                    <w:t>1000</w:t>
                  </w:r>
                </w:p>
              </w:tc>
              <w:tc>
                <w:tcPr>
                  <w:tcW w:w="560" w:type="pct"/>
                  <w:vAlign w:val="center"/>
                </w:tcPr>
                <w:p>
                  <w:pPr>
                    <w:jc w:val="center"/>
                    <w:rPr>
                      <w:rFonts w:ascii="Times New Roman" w:hAnsi="Times New Roman" w:eastAsia="宋体" w:cs="Times New Roman"/>
                      <w:kern w:val="0"/>
                      <w:szCs w:val="21"/>
                    </w:rPr>
                  </w:pPr>
                  <w:r>
                    <w:rPr>
                      <w:rFonts w:hint="eastAsia" w:ascii="Times New Roman" w:hAnsi="Times New Roman" w:cs="Times New Roman"/>
                      <w:kern w:val="0"/>
                      <w:szCs w:val="21"/>
                    </w:rPr>
                    <w:t>2.268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48" w:type="pct"/>
                  <w:vAlign w:val="center"/>
                </w:tcPr>
                <w:p>
                  <w:pPr>
                    <w:jc w:val="center"/>
                    <w:rPr>
                      <w:rFonts w:ascii="Times New Roman" w:hAnsi="Times New Roman" w:eastAsia="宋体" w:cs="Times New Roman"/>
                      <w:kern w:val="0"/>
                      <w:szCs w:val="21"/>
                    </w:rPr>
                  </w:pPr>
                  <w:r>
                    <w:rPr>
                      <w:rFonts w:ascii="Times New Roman" w:hAnsi="Times New Roman" w:cs="Times New Roman"/>
                      <w:kern w:val="0"/>
                      <w:szCs w:val="21"/>
                    </w:rPr>
                    <w:t>堆场</w:t>
                  </w:r>
                </w:p>
              </w:tc>
              <w:tc>
                <w:tcPr>
                  <w:tcW w:w="1925" w:type="pct"/>
                  <w:tcBorders>
                    <w:top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帆布覆盖、</w:t>
                  </w:r>
                  <w:r>
                    <w:rPr>
                      <w:rFonts w:hint="eastAsia" w:ascii="Times New Roman" w:hAnsi="Times New Roman" w:cs="Times New Roman"/>
                      <w:szCs w:val="21"/>
                    </w:rPr>
                    <w:t>料棚遮蔽</w:t>
                  </w:r>
                  <w:r>
                    <w:rPr>
                      <w:rFonts w:ascii="Times New Roman" w:hAnsi="Times New Roman" w:cs="Times New Roman"/>
                      <w:szCs w:val="21"/>
                    </w:rPr>
                    <w:t>和洒水降尘</w:t>
                  </w:r>
                </w:p>
              </w:tc>
              <w:tc>
                <w:tcPr>
                  <w:tcW w:w="1025" w:type="pct"/>
                  <w:vMerge w:val="continue"/>
                  <w:vAlign w:val="center"/>
                </w:tcPr>
                <w:p>
                  <w:pPr>
                    <w:jc w:val="center"/>
                    <w:rPr>
                      <w:rFonts w:ascii="Times New Roman" w:hAnsi="Times New Roman" w:eastAsia="宋体" w:cs="Times New Roman"/>
                      <w:kern w:val="0"/>
                      <w:szCs w:val="21"/>
                    </w:rPr>
                  </w:pPr>
                </w:p>
              </w:tc>
              <w:tc>
                <w:tcPr>
                  <w:tcW w:w="739" w:type="pct"/>
                  <w:vMerge w:val="continue"/>
                  <w:vAlign w:val="center"/>
                </w:tcPr>
                <w:p>
                  <w:pPr>
                    <w:jc w:val="center"/>
                    <w:rPr>
                      <w:rFonts w:ascii="Times New Roman" w:hAnsi="Times New Roman" w:eastAsia="宋体" w:cs="Times New Roman"/>
                      <w:kern w:val="0"/>
                      <w:szCs w:val="21"/>
                    </w:rPr>
                  </w:pPr>
                </w:p>
              </w:tc>
              <w:tc>
                <w:tcPr>
                  <w:tcW w:w="560" w:type="pct"/>
                  <w:vAlign w:val="center"/>
                </w:tcPr>
                <w:p>
                  <w:pPr>
                    <w:jc w:val="center"/>
                    <w:rPr>
                      <w:rFonts w:ascii="Times New Roman" w:hAnsi="Times New Roman" w:eastAsia="宋体" w:cs="Times New Roman"/>
                      <w:kern w:val="0"/>
                      <w:szCs w:val="21"/>
                    </w:rPr>
                  </w:pPr>
                  <w:r>
                    <w:rPr>
                      <w:rFonts w:hint="eastAsia" w:ascii="Times New Roman" w:hAnsi="Times New Roman" w:cs="Times New Roman"/>
                      <w:kern w:val="0"/>
                      <w:szCs w:val="21"/>
                      <w:lang w:bidi="ar"/>
                    </w:rPr>
                    <w:t>0.0092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48" w:type="pct"/>
                  <w:vAlign w:val="center"/>
                </w:tcPr>
                <w:p>
                  <w:pPr>
                    <w:jc w:val="center"/>
                    <w:rPr>
                      <w:rFonts w:ascii="Times New Roman" w:hAnsi="Times New Roman" w:cs="Times New Roman"/>
                      <w:kern w:val="0"/>
                      <w:szCs w:val="21"/>
                    </w:rPr>
                  </w:pPr>
                  <w:r>
                    <w:rPr>
                      <w:rFonts w:ascii="Times New Roman" w:hAnsi="Times New Roman" w:cs="Times New Roman"/>
                      <w:kern w:val="0"/>
                      <w:szCs w:val="21"/>
                    </w:rPr>
                    <w:t>装卸</w:t>
                  </w:r>
                </w:p>
              </w:tc>
              <w:tc>
                <w:tcPr>
                  <w:tcW w:w="1925" w:type="pct"/>
                  <w:vAlign w:val="center"/>
                </w:tcPr>
                <w:p>
                  <w:pPr>
                    <w:jc w:val="center"/>
                    <w:rPr>
                      <w:rFonts w:ascii="Times New Roman" w:hAnsi="Times New Roman" w:eastAsia="宋体" w:cs="Times New Roman"/>
                      <w:szCs w:val="21"/>
                    </w:rPr>
                  </w:pPr>
                  <w:r>
                    <w:rPr>
                      <w:rFonts w:ascii="Times New Roman" w:hAnsi="Times New Roman" w:cs="Times New Roman"/>
                      <w:szCs w:val="21"/>
                    </w:rPr>
                    <w:t>增加厂区地面清扫频率，不定时洒水抑尘</w:t>
                  </w:r>
                </w:p>
              </w:tc>
              <w:tc>
                <w:tcPr>
                  <w:tcW w:w="1025" w:type="pct"/>
                  <w:vMerge w:val="continue"/>
                  <w:vAlign w:val="center"/>
                </w:tcPr>
                <w:p>
                  <w:pPr>
                    <w:jc w:val="center"/>
                    <w:rPr>
                      <w:rFonts w:ascii="Times New Roman" w:hAnsi="Times New Roman" w:eastAsia="宋体" w:cs="Times New Roman"/>
                      <w:kern w:val="0"/>
                      <w:szCs w:val="21"/>
                    </w:rPr>
                  </w:pPr>
                </w:p>
              </w:tc>
              <w:tc>
                <w:tcPr>
                  <w:tcW w:w="739" w:type="pct"/>
                  <w:vMerge w:val="continue"/>
                  <w:vAlign w:val="center"/>
                </w:tcPr>
                <w:p>
                  <w:pPr>
                    <w:jc w:val="center"/>
                    <w:rPr>
                      <w:rFonts w:ascii="Times New Roman" w:hAnsi="Times New Roman" w:eastAsia="宋体" w:cs="Times New Roman"/>
                      <w:kern w:val="0"/>
                      <w:szCs w:val="21"/>
                    </w:rPr>
                  </w:pPr>
                </w:p>
              </w:tc>
              <w:tc>
                <w:tcPr>
                  <w:tcW w:w="560" w:type="pct"/>
                  <w:vAlign w:val="center"/>
                </w:tcPr>
                <w:p>
                  <w:pPr>
                    <w:jc w:val="center"/>
                    <w:rPr>
                      <w:rFonts w:ascii="Times New Roman" w:hAnsi="Times New Roman" w:cs="Times New Roman"/>
                      <w:kern w:val="0"/>
                      <w:szCs w:val="21"/>
                      <w:lang w:bidi="ar"/>
                    </w:rPr>
                  </w:pPr>
                  <w:r>
                    <w:rPr>
                      <w:rFonts w:hint="eastAsia" w:ascii="Times New Roman" w:hAnsi="Times New Roman" w:cs="Times New Roman"/>
                      <w:kern w:val="0"/>
                      <w:szCs w:val="21"/>
                      <w:lang w:bidi="ar"/>
                    </w:rPr>
                    <w:t>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48" w:type="pct"/>
                  <w:vAlign w:val="center"/>
                </w:tcPr>
                <w:p>
                  <w:pPr>
                    <w:jc w:val="center"/>
                    <w:rPr>
                      <w:rFonts w:ascii="Times New Roman" w:hAnsi="Times New Roman" w:eastAsia="宋体" w:cs="Times New Roman"/>
                      <w:szCs w:val="21"/>
                      <w:lang w:val="zh-CN"/>
                    </w:rPr>
                  </w:pPr>
                  <w:r>
                    <w:rPr>
                      <w:rFonts w:ascii="Times New Roman" w:hAnsi="Times New Roman" w:cs="Times New Roman"/>
                      <w:szCs w:val="21"/>
                      <w:lang w:val="zh-CN"/>
                    </w:rPr>
                    <w:t>运输道路</w:t>
                  </w:r>
                </w:p>
              </w:tc>
              <w:tc>
                <w:tcPr>
                  <w:tcW w:w="1925" w:type="pct"/>
                  <w:vAlign w:val="center"/>
                </w:tcPr>
                <w:p>
                  <w:pPr>
                    <w:jc w:val="center"/>
                    <w:rPr>
                      <w:rFonts w:ascii="Times New Roman" w:hAnsi="Times New Roman" w:eastAsia="宋体" w:cs="Times New Roman"/>
                      <w:szCs w:val="21"/>
                    </w:rPr>
                  </w:pPr>
                  <w:r>
                    <w:rPr>
                      <w:rFonts w:ascii="Times New Roman" w:hAnsi="Times New Roman" w:cs="Times New Roman"/>
                      <w:szCs w:val="21"/>
                    </w:rPr>
                    <w:t>道路硬化、车辆封闭遮盖、道路洒水降尘</w:t>
                  </w:r>
                </w:p>
              </w:tc>
              <w:tc>
                <w:tcPr>
                  <w:tcW w:w="1025" w:type="pct"/>
                  <w:vMerge w:val="continue"/>
                  <w:vAlign w:val="center"/>
                </w:tcPr>
                <w:p>
                  <w:pPr>
                    <w:jc w:val="center"/>
                    <w:rPr>
                      <w:rFonts w:ascii="Times New Roman" w:hAnsi="Times New Roman" w:eastAsia="宋体" w:cs="Times New Roman"/>
                      <w:kern w:val="0"/>
                      <w:szCs w:val="21"/>
                    </w:rPr>
                  </w:pPr>
                </w:p>
              </w:tc>
              <w:tc>
                <w:tcPr>
                  <w:tcW w:w="739" w:type="pct"/>
                  <w:vMerge w:val="continue"/>
                  <w:vAlign w:val="center"/>
                </w:tcPr>
                <w:p>
                  <w:pPr>
                    <w:jc w:val="center"/>
                    <w:rPr>
                      <w:rFonts w:ascii="Times New Roman" w:hAnsi="Times New Roman" w:eastAsia="宋体" w:cs="Times New Roman"/>
                      <w:kern w:val="0"/>
                      <w:szCs w:val="21"/>
                    </w:rPr>
                  </w:pPr>
                </w:p>
              </w:tc>
              <w:tc>
                <w:tcPr>
                  <w:tcW w:w="560" w:type="pct"/>
                  <w:vAlign w:val="center"/>
                </w:tcPr>
                <w:p>
                  <w:pPr>
                    <w:jc w:val="center"/>
                    <w:rPr>
                      <w:rFonts w:ascii="Times New Roman" w:hAnsi="Times New Roman" w:cs="Times New Roman"/>
                      <w:szCs w:val="21"/>
                    </w:rPr>
                  </w:pPr>
                  <w:r>
                    <w:rPr>
                      <w:rFonts w:hint="eastAsia" w:ascii="Times New Roman" w:hAnsi="Times New Roman" w:cs="Times New Roman"/>
                      <w:szCs w:val="21"/>
                    </w:rPr>
                    <w:t>0.0405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48" w:type="pct"/>
                  <w:vAlign w:val="center"/>
                </w:tcPr>
                <w:p>
                  <w:pPr>
                    <w:jc w:val="center"/>
                    <w:rPr>
                      <w:rFonts w:ascii="Times New Roman" w:hAnsi="Times New Roman" w:cs="Times New Roman"/>
                      <w:szCs w:val="21"/>
                    </w:rPr>
                  </w:pPr>
                  <w:r>
                    <w:rPr>
                      <w:rFonts w:hint="eastAsia" w:ascii="Times New Roman" w:hAnsi="Times New Roman" w:eastAsia="宋体" w:cs="Times New Roman"/>
                      <w:szCs w:val="21"/>
                    </w:rPr>
                    <w:t>输送带</w:t>
                  </w:r>
                </w:p>
              </w:tc>
              <w:tc>
                <w:tcPr>
                  <w:tcW w:w="1925" w:type="pct"/>
                  <w:vAlign w:val="center"/>
                </w:tcPr>
                <w:p>
                  <w:pPr>
                    <w:jc w:val="center"/>
                    <w:rPr>
                      <w:rFonts w:ascii="Times New Roman" w:hAnsi="Times New Roman" w:cs="Times New Roman"/>
                      <w:szCs w:val="21"/>
                    </w:rPr>
                  </w:pPr>
                  <w:r>
                    <w:rPr>
                      <w:rFonts w:ascii="Times New Roman" w:hAnsi="Times New Roman" w:cs="Times New Roman"/>
                      <w:szCs w:val="21"/>
                    </w:rPr>
                    <w:t>采用半封闭式输送带</w:t>
                  </w:r>
                  <w:r>
                    <w:rPr>
                      <w:rFonts w:hint="eastAsia" w:ascii="Times New Roman" w:hAnsi="Times New Roman" w:cs="Times New Roman"/>
                      <w:szCs w:val="21"/>
                    </w:rPr>
                    <w:t>、</w:t>
                  </w:r>
                  <w:r>
                    <w:rPr>
                      <w:rFonts w:ascii="Times New Roman" w:hAnsi="Times New Roman" w:cs="Times New Roman"/>
                      <w:szCs w:val="21"/>
                    </w:rPr>
                    <w:t>生产线上方设置雾化喷头</w:t>
                  </w:r>
                </w:p>
              </w:tc>
              <w:tc>
                <w:tcPr>
                  <w:tcW w:w="1025" w:type="pct"/>
                  <w:vMerge w:val="continue"/>
                  <w:vAlign w:val="center"/>
                </w:tcPr>
                <w:p>
                  <w:pPr>
                    <w:jc w:val="center"/>
                    <w:rPr>
                      <w:rFonts w:ascii="Times New Roman" w:hAnsi="Times New Roman" w:eastAsia="宋体" w:cs="Times New Roman"/>
                      <w:kern w:val="0"/>
                      <w:szCs w:val="21"/>
                    </w:rPr>
                  </w:pPr>
                </w:p>
              </w:tc>
              <w:tc>
                <w:tcPr>
                  <w:tcW w:w="739" w:type="pct"/>
                  <w:vMerge w:val="continue"/>
                  <w:vAlign w:val="center"/>
                </w:tcPr>
                <w:p>
                  <w:pPr>
                    <w:jc w:val="center"/>
                    <w:rPr>
                      <w:rFonts w:ascii="Times New Roman" w:hAnsi="Times New Roman" w:eastAsia="宋体" w:cs="Times New Roman"/>
                      <w:kern w:val="0"/>
                      <w:szCs w:val="21"/>
                    </w:rPr>
                  </w:pPr>
                </w:p>
              </w:tc>
              <w:tc>
                <w:tcPr>
                  <w:tcW w:w="560" w:type="pct"/>
                  <w:vAlign w:val="center"/>
                </w:tcPr>
                <w:p>
                  <w:pPr>
                    <w:jc w:val="center"/>
                    <w:rPr>
                      <w:rFonts w:ascii="Times New Roman" w:hAnsi="Times New Roman" w:cs="Times New Roman"/>
                      <w:szCs w:val="21"/>
                    </w:rPr>
                  </w:pPr>
                  <w:r>
                    <w:rPr>
                      <w:rFonts w:hint="eastAsia" w:ascii="Times New Roman" w:hAnsi="Times New Roman" w:cs="Times New Roman"/>
                      <w:kern w:val="0"/>
                      <w:szCs w:val="21"/>
                    </w:rPr>
                    <w:t>0.03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gridSpan w:val="5"/>
                  <w:vAlign w:val="center"/>
                </w:tcPr>
                <w:p>
                  <w:pPr>
                    <w:jc w:val="center"/>
                    <w:rPr>
                      <w:rFonts w:ascii="Times New Roman" w:hAnsi="Times New Roman" w:cs="Times New Roman"/>
                      <w:kern w:val="0"/>
                      <w:szCs w:val="21"/>
                    </w:rPr>
                  </w:pPr>
                  <w:r>
                    <w:rPr>
                      <w:rFonts w:ascii="Times New Roman" w:hAnsi="Times New Roman" w:cs="Times New Roman"/>
                      <w:szCs w:val="21"/>
                    </w:rPr>
                    <w:t>全厂无组织排放总计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74" w:type="pct"/>
                  <w:gridSpan w:val="2"/>
                  <w:vAlign w:val="center"/>
                </w:tcPr>
                <w:p>
                  <w:pPr>
                    <w:jc w:val="center"/>
                    <w:rPr>
                      <w:rFonts w:ascii="Times New Roman" w:hAnsi="Times New Roman" w:cs="Times New Roman"/>
                      <w:szCs w:val="21"/>
                    </w:rPr>
                  </w:pPr>
                  <w:r>
                    <w:rPr>
                      <w:rFonts w:ascii="Times New Roman" w:hAnsi="Times New Roman" w:cs="Times New Roman"/>
                      <w:szCs w:val="21"/>
                    </w:rPr>
                    <w:t>全厂无组织排放总计</w:t>
                  </w:r>
                </w:p>
              </w:tc>
              <w:tc>
                <w:tcPr>
                  <w:tcW w:w="1765" w:type="pct"/>
                  <w:gridSpan w:val="2"/>
                  <w:vAlign w:val="center"/>
                </w:tcPr>
                <w:p>
                  <w:pPr>
                    <w:jc w:val="center"/>
                    <w:rPr>
                      <w:rFonts w:ascii="Times New Roman" w:hAnsi="Times New Roman" w:eastAsia="宋体" w:cs="Times New Roman"/>
                      <w:kern w:val="0"/>
                      <w:szCs w:val="21"/>
                    </w:rPr>
                  </w:pPr>
                  <w:r>
                    <w:rPr>
                      <w:rFonts w:ascii="Times New Roman" w:hAnsi="Times New Roman" w:cs="Times New Roman"/>
                      <w:szCs w:val="21"/>
                    </w:rPr>
                    <w:t>颗粒物</w:t>
                  </w:r>
                </w:p>
              </w:tc>
              <w:tc>
                <w:tcPr>
                  <w:tcW w:w="560" w:type="pct"/>
                  <w:vAlign w:val="center"/>
                </w:tcPr>
                <w:p>
                  <w:pPr>
                    <w:jc w:val="center"/>
                    <w:rPr>
                      <w:rFonts w:ascii="Times New Roman" w:hAnsi="Times New Roman" w:cs="Times New Roman"/>
                      <w:kern w:val="0"/>
                      <w:szCs w:val="21"/>
                    </w:rPr>
                  </w:pPr>
                  <w:r>
                    <w:rPr>
                      <w:rFonts w:hint="eastAsia" w:ascii="Times New Roman" w:hAnsi="Times New Roman" w:cs="Times New Roman"/>
                      <w:kern w:val="0"/>
                      <w:szCs w:val="21"/>
                    </w:rPr>
                    <w:t>2.9477</w:t>
                  </w:r>
                </w:p>
              </w:tc>
            </w:tr>
          </w:tbl>
          <w:p>
            <w:pPr>
              <w:pStyle w:val="41"/>
              <w:adjustRightInd w:val="0"/>
              <w:snapToGrid w:val="0"/>
              <w:ind w:firstLine="482" w:firstLineChars="200"/>
              <w:jc w:val="both"/>
              <w:rPr>
                <w:rFonts w:ascii="Times New Roman" w:hAnsi="Times New Roman" w:cs="Times New Roman"/>
                <w:b/>
                <w:bCs/>
                <w:sz w:val="24"/>
                <w:szCs w:val="24"/>
              </w:rPr>
            </w:pPr>
          </w:p>
          <w:p>
            <w:pPr>
              <w:pStyle w:val="41"/>
              <w:adjustRightInd w:val="0"/>
              <w:snapToGrid w:val="0"/>
              <w:ind w:firstLine="482" w:firstLineChars="200"/>
              <w:jc w:val="both"/>
              <w:rPr>
                <w:rFonts w:ascii="Times New Roman" w:hAnsi="Times New Roman" w:cs="Times New Roman"/>
                <w:b/>
                <w:bCs/>
                <w:sz w:val="24"/>
                <w:szCs w:val="24"/>
              </w:rPr>
            </w:pPr>
            <w:r>
              <w:rPr>
                <w:rFonts w:ascii="Times New Roman" w:hAnsi="Times New Roman" w:cs="Times New Roman"/>
                <w:b/>
                <w:bCs/>
                <w:sz w:val="24"/>
                <w:szCs w:val="24"/>
              </w:rPr>
              <w:t>2、废气污染物防治措施与可行性分析</w:t>
            </w:r>
          </w:p>
          <w:p>
            <w:pPr>
              <w:pStyle w:val="41"/>
              <w:adjustRightInd w:val="0"/>
              <w:snapToGrid w:val="0"/>
              <w:ind w:firstLine="480" w:firstLineChars="200"/>
              <w:jc w:val="both"/>
              <w:rPr>
                <w:rFonts w:ascii="Times New Roman" w:hAnsi="Times New Roman" w:cs="Times New Roman" w:eastAsiaTheme="minorEastAsia"/>
                <w:sz w:val="24"/>
                <w:szCs w:val="24"/>
              </w:rPr>
            </w:pPr>
            <w:r>
              <w:rPr>
                <w:rFonts w:ascii="Times New Roman" w:hAnsi="Times New Roman" w:cs="Times New Roman" w:eastAsiaTheme="minorEastAsia"/>
                <w:sz w:val="24"/>
                <w:szCs w:val="24"/>
              </w:rPr>
              <w:t>项目破碎、筛分设置封闭厂房和喷雾降尘作业；输送带采用封闭廊道输送，并在输送带落料口增设斜槽；堆场</w:t>
            </w:r>
            <w:r>
              <w:rPr>
                <w:rFonts w:hint="eastAsia" w:ascii="Times New Roman" w:hAnsi="Times New Roman" w:cs="Times New Roman" w:eastAsiaTheme="minorEastAsia"/>
                <w:sz w:val="24"/>
                <w:szCs w:val="24"/>
              </w:rPr>
              <w:t>设料棚遮蔽</w:t>
            </w:r>
            <w:r>
              <w:rPr>
                <w:rFonts w:ascii="Times New Roman" w:hAnsi="Times New Roman" w:cs="Times New Roman" w:eastAsiaTheme="minorEastAsia"/>
                <w:sz w:val="24"/>
                <w:szCs w:val="24"/>
              </w:rPr>
              <w:t>，设置喷雾降尘作业。以上措施能实际应用于项目生产过程中，项目采取的上述措施实施难度不大，投资不大，所采用的处理工艺符合现行国家法律法规要求，不属于淘汰和落后工艺。综上所述，项目大气污染防治措施可行，对周边大气环境影响小。</w:t>
            </w:r>
          </w:p>
          <w:p>
            <w:pPr>
              <w:widowControl/>
              <w:adjustRightInd w:val="0"/>
              <w:snapToGrid w:val="0"/>
              <w:spacing w:line="360" w:lineRule="auto"/>
              <w:ind w:firstLine="482" w:firstLineChars="200"/>
              <w:rPr>
                <w:rFonts w:ascii="Times New Roman" w:hAnsi="Times New Roman" w:eastAsia="宋体" w:cs="Times New Roman"/>
                <w:b/>
                <w:bCs/>
                <w:sz w:val="24"/>
              </w:rPr>
            </w:pPr>
            <w:r>
              <w:rPr>
                <w:rFonts w:ascii="Times New Roman" w:hAnsi="Times New Roman" w:eastAsia="宋体" w:cs="Times New Roman"/>
                <w:b/>
                <w:bCs/>
                <w:sz w:val="24"/>
              </w:rPr>
              <w:t>3、监测要求</w:t>
            </w:r>
          </w:p>
          <w:p>
            <w:pPr>
              <w:pStyle w:val="6"/>
              <w:rPr>
                <w:rFonts w:ascii="Times New Roman" w:hAnsi="Times New Roman" w:cs="Times New Roman"/>
                <w:color w:val="auto"/>
              </w:rPr>
            </w:pPr>
            <w:r>
              <w:rPr>
                <w:rFonts w:ascii="Times New Roman" w:hAnsi="Times New Roman" w:cs="Times New Roman"/>
                <w:color w:val="auto"/>
              </w:rPr>
              <w:t>项目环境监测委托有资质的单位监测，主要内容见下表。</w:t>
            </w:r>
          </w:p>
          <w:p>
            <w:pPr>
              <w:widowControl/>
              <w:jc w:val="center"/>
              <w:rPr>
                <w:rFonts w:ascii="Times New Roman" w:hAnsi="Times New Roman" w:cs="Times New Roman"/>
                <w:szCs w:val="21"/>
              </w:rPr>
            </w:pPr>
            <w:r>
              <w:rPr>
                <w:rFonts w:ascii="Times New Roman" w:hAnsi="Times New Roman" w:eastAsia="宋体" w:cs="Times New Roman"/>
                <w:b/>
                <w:bCs/>
                <w:kern w:val="0"/>
                <w:szCs w:val="21"/>
                <w:lang w:bidi="ar"/>
              </w:rPr>
              <w:t>表4-</w:t>
            </w:r>
            <w:r>
              <w:rPr>
                <w:rFonts w:hint="eastAsia" w:ascii="Times New Roman" w:hAnsi="Times New Roman" w:eastAsia="宋体" w:cs="Times New Roman"/>
                <w:b/>
                <w:bCs/>
                <w:kern w:val="0"/>
                <w:szCs w:val="21"/>
                <w:lang w:bidi="ar"/>
              </w:rPr>
              <w:t>7</w:t>
            </w:r>
            <w:r>
              <w:rPr>
                <w:rFonts w:ascii="Times New Roman" w:hAnsi="Times New Roman" w:eastAsia="宋体" w:cs="Times New Roman"/>
                <w:b/>
                <w:bCs/>
                <w:kern w:val="0"/>
                <w:szCs w:val="21"/>
                <w:lang w:bidi="ar"/>
              </w:rPr>
              <w:t xml:space="preserve">  废气监测要求</w:t>
            </w:r>
          </w:p>
          <w:tbl>
            <w:tblPr>
              <w:tblStyle w:val="30"/>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1209"/>
              <w:gridCol w:w="3174"/>
              <w:gridCol w:w="1209"/>
              <w:gridCol w:w="1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6" w:type="pct"/>
                  <w:vAlign w:val="center"/>
                </w:tcPr>
                <w:p>
                  <w:pPr>
                    <w:pStyle w:val="6"/>
                    <w:adjustRightInd/>
                    <w:snapToGrid/>
                    <w:spacing w:line="240" w:lineRule="auto"/>
                    <w:ind w:firstLine="0"/>
                    <w:jc w:val="center"/>
                    <w:rPr>
                      <w:rFonts w:ascii="Times New Roman" w:hAnsi="Times New Roman" w:eastAsia="宋体" w:cs="Times New Roman"/>
                      <w:b/>
                      <w:bCs/>
                      <w:color w:val="auto"/>
                      <w:sz w:val="21"/>
                      <w:szCs w:val="21"/>
                    </w:rPr>
                  </w:pPr>
                  <w:r>
                    <w:rPr>
                      <w:rFonts w:ascii="Times New Roman" w:hAnsi="Times New Roman" w:cs="Times New Roman"/>
                      <w:b/>
                      <w:bCs/>
                      <w:color w:val="auto"/>
                      <w:sz w:val="21"/>
                      <w:szCs w:val="21"/>
                    </w:rPr>
                    <w:t>序号</w:t>
                  </w:r>
                </w:p>
              </w:tc>
              <w:tc>
                <w:tcPr>
                  <w:tcW w:w="804" w:type="pct"/>
                  <w:vAlign w:val="center"/>
                </w:tcPr>
                <w:p>
                  <w:pPr>
                    <w:pStyle w:val="6"/>
                    <w:adjustRightInd/>
                    <w:snapToGrid/>
                    <w:spacing w:line="240" w:lineRule="auto"/>
                    <w:ind w:firstLine="0"/>
                    <w:jc w:val="center"/>
                    <w:rPr>
                      <w:rFonts w:ascii="Times New Roman" w:hAnsi="Times New Roman" w:eastAsia="宋体" w:cs="Times New Roman"/>
                      <w:b/>
                      <w:bCs/>
                      <w:color w:val="auto"/>
                      <w:sz w:val="21"/>
                      <w:szCs w:val="21"/>
                    </w:rPr>
                  </w:pPr>
                  <w:r>
                    <w:rPr>
                      <w:rFonts w:ascii="Times New Roman" w:hAnsi="Times New Roman" w:cs="Times New Roman"/>
                      <w:b/>
                      <w:bCs/>
                      <w:color w:val="auto"/>
                      <w:sz w:val="21"/>
                      <w:szCs w:val="21"/>
                    </w:rPr>
                    <w:t>排放形式</w:t>
                  </w:r>
                </w:p>
              </w:tc>
              <w:tc>
                <w:tcPr>
                  <w:tcW w:w="2110" w:type="pct"/>
                  <w:vAlign w:val="center"/>
                </w:tcPr>
                <w:p>
                  <w:pPr>
                    <w:pStyle w:val="6"/>
                    <w:adjustRightInd/>
                    <w:snapToGrid/>
                    <w:spacing w:line="240" w:lineRule="auto"/>
                    <w:ind w:firstLine="0"/>
                    <w:jc w:val="center"/>
                    <w:rPr>
                      <w:rFonts w:ascii="Times New Roman" w:hAnsi="Times New Roman" w:eastAsia="宋体" w:cs="Times New Roman"/>
                      <w:b/>
                      <w:bCs/>
                      <w:color w:val="auto"/>
                      <w:sz w:val="21"/>
                      <w:szCs w:val="21"/>
                    </w:rPr>
                  </w:pPr>
                  <w:r>
                    <w:rPr>
                      <w:rFonts w:ascii="Times New Roman" w:hAnsi="Times New Roman" w:cs="Times New Roman"/>
                      <w:b/>
                      <w:bCs/>
                      <w:color w:val="auto"/>
                      <w:sz w:val="21"/>
                      <w:szCs w:val="21"/>
                    </w:rPr>
                    <w:t>监测点位</w:t>
                  </w:r>
                </w:p>
              </w:tc>
              <w:tc>
                <w:tcPr>
                  <w:tcW w:w="804" w:type="pct"/>
                  <w:vAlign w:val="center"/>
                </w:tcPr>
                <w:p>
                  <w:pPr>
                    <w:pStyle w:val="6"/>
                    <w:adjustRightInd/>
                    <w:snapToGrid/>
                    <w:spacing w:line="240" w:lineRule="auto"/>
                    <w:ind w:firstLine="0"/>
                    <w:jc w:val="center"/>
                    <w:rPr>
                      <w:rFonts w:ascii="Times New Roman" w:hAnsi="Times New Roman" w:eastAsia="宋体" w:cs="Times New Roman"/>
                      <w:b/>
                      <w:bCs/>
                      <w:color w:val="auto"/>
                      <w:sz w:val="21"/>
                      <w:szCs w:val="21"/>
                    </w:rPr>
                  </w:pPr>
                  <w:r>
                    <w:rPr>
                      <w:rFonts w:ascii="Times New Roman" w:hAnsi="Times New Roman" w:cs="Times New Roman"/>
                      <w:b/>
                      <w:bCs/>
                      <w:color w:val="auto"/>
                      <w:sz w:val="21"/>
                      <w:szCs w:val="21"/>
                    </w:rPr>
                    <w:t>监测因子</w:t>
                  </w:r>
                </w:p>
              </w:tc>
              <w:tc>
                <w:tcPr>
                  <w:tcW w:w="804" w:type="pct"/>
                  <w:vAlign w:val="center"/>
                </w:tcPr>
                <w:p>
                  <w:pPr>
                    <w:pStyle w:val="6"/>
                    <w:adjustRightInd/>
                    <w:snapToGrid/>
                    <w:spacing w:line="240" w:lineRule="auto"/>
                    <w:ind w:firstLine="0"/>
                    <w:jc w:val="center"/>
                    <w:rPr>
                      <w:rFonts w:ascii="Times New Roman" w:hAnsi="Times New Roman" w:eastAsia="宋体" w:cs="Times New Roman"/>
                      <w:b/>
                      <w:bCs/>
                      <w:color w:val="auto"/>
                      <w:sz w:val="21"/>
                      <w:szCs w:val="21"/>
                    </w:rPr>
                  </w:pPr>
                  <w:r>
                    <w:rPr>
                      <w:rFonts w:ascii="Times New Roman" w:hAnsi="Times New Roman" w:cs="Times New Roman"/>
                      <w:b/>
                      <w:bCs/>
                      <w:color w:val="auto"/>
                      <w:sz w:val="21"/>
                      <w:szCs w:val="21"/>
                    </w:rPr>
                    <w:t>监测频次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6" w:type="pct"/>
                  <w:vAlign w:val="center"/>
                </w:tcPr>
                <w:p>
                  <w:pPr>
                    <w:pStyle w:val="6"/>
                    <w:adjustRightInd/>
                    <w:snapToGrid/>
                    <w:spacing w:line="240" w:lineRule="auto"/>
                    <w:ind w:firstLine="0"/>
                    <w:jc w:val="center"/>
                    <w:rPr>
                      <w:rFonts w:ascii="Times New Roman" w:hAnsi="Times New Roman" w:eastAsia="宋体" w:cs="Times New Roman"/>
                      <w:color w:val="auto"/>
                      <w:sz w:val="21"/>
                      <w:szCs w:val="21"/>
                    </w:rPr>
                  </w:pPr>
                  <w:r>
                    <w:rPr>
                      <w:rFonts w:ascii="Times New Roman" w:hAnsi="Times New Roman" w:cs="Times New Roman"/>
                      <w:color w:val="auto"/>
                      <w:sz w:val="21"/>
                      <w:szCs w:val="21"/>
                    </w:rPr>
                    <w:t>1</w:t>
                  </w:r>
                </w:p>
              </w:tc>
              <w:tc>
                <w:tcPr>
                  <w:tcW w:w="804" w:type="pct"/>
                  <w:vAlign w:val="center"/>
                </w:tcPr>
                <w:p>
                  <w:pPr>
                    <w:widowControl/>
                    <w:jc w:val="center"/>
                    <w:rPr>
                      <w:rFonts w:ascii="Times New Roman" w:hAnsi="Times New Roman" w:eastAsia="宋体" w:cs="Times New Roman"/>
                      <w:szCs w:val="21"/>
                    </w:rPr>
                  </w:pPr>
                  <w:r>
                    <w:rPr>
                      <w:rFonts w:ascii="Times New Roman" w:hAnsi="Times New Roman" w:eastAsia="宋体" w:cs="Times New Roman"/>
                      <w:kern w:val="0"/>
                      <w:szCs w:val="21"/>
                      <w:lang w:bidi="ar"/>
                    </w:rPr>
                    <w:t>无组织</w:t>
                  </w:r>
                </w:p>
              </w:tc>
              <w:tc>
                <w:tcPr>
                  <w:tcW w:w="2110" w:type="pct"/>
                  <w:vAlign w:val="center"/>
                </w:tcPr>
                <w:p>
                  <w:pPr>
                    <w:widowControl/>
                    <w:rPr>
                      <w:rFonts w:ascii="Times New Roman" w:hAnsi="Times New Roman" w:eastAsia="宋体" w:cs="Times New Roman"/>
                      <w:szCs w:val="21"/>
                    </w:rPr>
                  </w:pPr>
                  <w:r>
                    <w:rPr>
                      <w:rFonts w:ascii="Times New Roman" w:hAnsi="Times New Roman" w:eastAsia="宋体" w:cs="Times New Roman"/>
                      <w:kern w:val="0"/>
                      <w:szCs w:val="21"/>
                      <w:lang w:bidi="ar"/>
                    </w:rPr>
                    <w:t>在排放源上风向2~50m范围内（1个），在排放源下风向2~50m范围内（</w:t>
                  </w:r>
                  <w:r>
                    <w:rPr>
                      <w:rFonts w:hint="eastAsia" w:ascii="Times New Roman" w:hAnsi="Times New Roman" w:eastAsia="宋体" w:cs="Times New Roman"/>
                      <w:kern w:val="0"/>
                      <w:szCs w:val="21"/>
                      <w:lang w:bidi="ar"/>
                    </w:rPr>
                    <w:t>3</w:t>
                  </w:r>
                  <w:r>
                    <w:rPr>
                      <w:rFonts w:ascii="Times New Roman" w:hAnsi="Times New Roman" w:eastAsia="宋体" w:cs="Times New Roman"/>
                      <w:kern w:val="0"/>
                      <w:szCs w:val="21"/>
                      <w:lang w:bidi="ar"/>
                    </w:rPr>
                    <w:t>个）。</w:t>
                  </w:r>
                </w:p>
              </w:tc>
              <w:tc>
                <w:tcPr>
                  <w:tcW w:w="804" w:type="pct"/>
                  <w:vAlign w:val="center"/>
                </w:tcPr>
                <w:p>
                  <w:pPr>
                    <w:pStyle w:val="6"/>
                    <w:adjustRightInd/>
                    <w:snapToGrid/>
                    <w:spacing w:line="240" w:lineRule="auto"/>
                    <w:ind w:firstLine="0"/>
                    <w:jc w:val="center"/>
                    <w:rPr>
                      <w:rFonts w:ascii="Times New Roman" w:hAnsi="Times New Roman" w:eastAsia="宋体" w:cs="Times New Roman"/>
                      <w:color w:val="auto"/>
                      <w:sz w:val="21"/>
                      <w:szCs w:val="21"/>
                    </w:rPr>
                  </w:pPr>
                  <w:r>
                    <w:rPr>
                      <w:rFonts w:ascii="Times New Roman" w:hAnsi="Times New Roman" w:cs="Times New Roman"/>
                      <w:color w:val="auto"/>
                      <w:sz w:val="21"/>
                      <w:szCs w:val="21"/>
                    </w:rPr>
                    <w:t>颗粒物</w:t>
                  </w:r>
                </w:p>
              </w:tc>
              <w:tc>
                <w:tcPr>
                  <w:tcW w:w="804" w:type="pct"/>
                  <w:vAlign w:val="center"/>
                </w:tcPr>
                <w:p>
                  <w:pPr>
                    <w:widowControl/>
                    <w:jc w:val="center"/>
                    <w:rPr>
                      <w:rFonts w:ascii="Times New Roman" w:hAnsi="Times New Roman" w:eastAsia="宋体" w:cs="Times New Roman"/>
                      <w:szCs w:val="21"/>
                    </w:rPr>
                  </w:pPr>
                  <w:r>
                    <w:rPr>
                      <w:rFonts w:ascii="Times New Roman" w:hAnsi="Times New Roman" w:eastAsia="宋体" w:cs="Times New Roman"/>
                      <w:kern w:val="0"/>
                      <w:szCs w:val="21"/>
                      <w:lang w:bidi="ar"/>
                    </w:rPr>
                    <w:t>1次/</w:t>
                  </w:r>
                  <w:r>
                    <w:rPr>
                      <w:rFonts w:hint="eastAsia" w:ascii="Times New Roman" w:hAnsi="Times New Roman" w:eastAsia="宋体" w:cs="Times New Roman"/>
                      <w:kern w:val="0"/>
                      <w:szCs w:val="21"/>
                      <w:lang w:bidi="ar"/>
                    </w:rPr>
                    <w:t>半年</w:t>
                  </w:r>
                </w:p>
              </w:tc>
            </w:tr>
          </w:tbl>
          <w:p>
            <w:pPr>
              <w:adjustRightInd w:val="0"/>
              <w:snapToGrid w:val="0"/>
              <w:spacing w:line="360" w:lineRule="auto"/>
              <w:ind w:firstLine="482" w:firstLineChars="200"/>
              <w:rPr>
                <w:rFonts w:ascii="Times New Roman" w:hAnsi="Times New Roman" w:eastAsia="宋体" w:cs="Times New Roman"/>
                <w:b/>
                <w:bCs/>
                <w:sz w:val="24"/>
              </w:rPr>
            </w:pPr>
          </w:p>
          <w:p>
            <w:pPr>
              <w:adjustRightInd w:val="0"/>
              <w:snapToGrid w:val="0"/>
              <w:spacing w:line="360" w:lineRule="auto"/>
              <w:ind w:firstLine="482" w:firstLineChars="200"/>
              <w:rPr>
                <w:rFonts w:ascii="Times New Roman" w:hAnsi="Times New Roman" w:eastAsia="宋体" w:cs="Times New Roman"/>
                <w:b/>
                <w:bCs/>
                <w:sz w:val="24"/>
              </w:rPr>
            </w:pPr>
            <w:r>
              <w:rPr>
                <w:rFonts w:hint="eastAsia" w:ascii="Times New Roman" w:hAnsi="Times New Roman" w:eastAsia="宋体" w:cs="Times New Roman"/>
                <w:b/>
                <w:bCs/>
                <w:sz w:val="24"/>
              </w:rPr>
              <w:t>4、大气环境影响分析</w:t>
            </w:r>
          </w:p>
          <w:p>
            <w:pPr>
              <w:adjustRightInd w:val="0"/>
              <w:snapToGrid w:val="0"/>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本项目无组织排放粉尘主要产生于破碎、筛分、堆场、装卸、运输道路、输送带。</w:t>
            </w:r>
          </w:p>
          <w:p>
            <w:pPr>
              <w:adjustRightInd w:val="0"/>
              <w:snapToGrid w:val="0"/>
              <w:spacing w:line="360" w:lineRule="auto"/>
              <w:ind w:firstLine="480" w:firstLineChars="200"/>
              <w:rPr>
                <w:rFonts w:ascii="Times New Roman" w:hAnsi="Times New Roman" w:cs="Times New Roman"/>
                <w:sz w:val="24"/>
              </w:rPr>
            </w:pPr>
            <w:r>
              <w:rPr>
                <w:rFonts w:hint="eastAsia" w:ascii="Times New Roman" w:hAnsi="Times New Roman" w:eastAsia="宋体" w:cs="Times New Roman"/>
                <w:sz w:val="24"/>
              </w:rPr>
              <w:t>本次评价</w:t>
            </w:r>
            <w:r>
              <w:rPr>
                <w:rFonts w:ascii="Times New Roman" w:hAnsi="Times New Roman" w:eastAsia="宋体"/>
                <w:kern w:val="0"/>
                <w:sz w:val="24"/>
                <w:lang w:bidi="ar"/>
              </w:rPr>
              <w:t>按照《环境影响评价技术导则一大气环境》(HJ2.2-2018) 规定8.7.5要求“对于项目厂界浓度满足大气污染物厂界浓度限值，但厂界外大气污染物短期贡献浓度超过环境质量浓度限值的可以自厂界向外设置一定范围的大气环境防护区域，以确保大气环境防护区域外的污染物贡献浓度满足环境质量标准”</w:t>
            </w:r>
            <w:r>
              <w:rPr>
                <w:rFonts w:hint="eastAsia" w:ascii="Times New Roman" w:hAnsi="Times New Roman" w:eastAsia="宋体"/>
                <w:kern w:val="0"/>
                <w:sz w:val="24"/>
                <w:lang w:bidi="ar"/>
              </w:rPr>
              <w:t>。</w:t>
            </w:r>
            <w:r>
              <w:rPr>
                <w:rFonts w:hint="eastAsia" w:ascii="Times New Roman" w:hAnsi="Times New Roman"/>
                <w:kern w:val="0"/>
                <w:sz w:val="24"/>
                <w:lang w:bidi="ar"/>
              </w:rPr>
              <w:t>本项目</w:t>
            </w:r>
            <w:r>
              <w:rPr>
                <w:rFonts w:ascii="Times New Roman" w:hAnsi="Times New Roman" w:cs="Times New Roman"/>
                <w:sz w:val="24"/>
              </w:rPr>
              <w:t>采用《环境影响评价技术导则-大气环境》(HJ2.2-2018)中附录A推荐模型中的AERSCREEN模式</w:t>
            </w:r>
            <w:r>
              <w:rPr>
                <w:rFonts w:hint="eastAsia" w:ascii="Times New Roman" w:hAnsi="Times New Roman" w:cs="Times New Roman"/>
                <w:sz w:val="24"/>
              </w:rPr>
              <w:t>进行预测，预测结果见下表。</w:t>
            </w:r>
          </w:p>
          <w:p>
            <w:pPr>
              <w:adjustRightInd w:val="0"/>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表4</w:t>
            </w:r>
            <w:r>
              <w:rPr>
                <w:rFonts w:hint="eastAsia" w:ascii="Times New Roman" w:hAnsi="Times New Roman" w:eastAsia="宋体" w:cs="Times New Roman"/>
                <w:b/>
                <w:bCs/>
                <w:szCs w:val="21"/>
              </w:rPr>
              <w:t>-8</w:t>
            </w:r>
            <w:r>
              <w:rPr>
                <w:rFonts w:ascii="Times New Roman" w:hAnsi="Times New Roman" w:eastAsia="宋体" w:cs="Times New Roman"/>
                <w:b/>
                <w:bCs/>
                <w:szCs w:val="21"/>
              </w:rPr>
              <w:t xml:space="preserve">   </w:t>
            </w:r>
            <w:r>
              <w:rPr>
                <w:rFonts w:hint="eastAsia" w:ascii="Times New Roman" w:hAnsi="Times New Roman" w:eastAsia="宋体" w:cs="Times New Roman"/>
                <w:b/>
                <w:bCs/>
                <w:szCs w:val="21"/>
              </w:rPr>
              <w:t>无组织排放</w:t>
            </w:r>
            <w:r>
              <w:rPr>
                <w:rFonts w:ascii="Times New Roman" w:hAnsi="Times New Roman" w:eastAsia="宋体" w:cs="Times New Roman"/>
                <w:b/>
                <w:bCs/>
                <w:szCs w:val="21"/>
              </w:rPr>
              <w:t>预测结果</w:t>
            </w:r>
          </w:p>
          <w:tbl>
            <w:tblPr>
              <w:tblStyle w:val="29"/>
              <w:tblW w:w="72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849"/>
              <w:gridCol w:w="2146"/>
              <w:gridCol w:w="224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15" w:hRule="atLeast"/>
              </w:trPr>
              <w:tc>
                <w:tcPr>
                  <w:tcW w:w="2849" w:type="dxa"/>
                  <w:vMerge w:val="restart"/>
                  <w:vAlign w:val="center"/>
                </w:tcPr>
                <w:p>
                  <w:pPr>
                    <w:jc w:val="center"/>
                    <w:rPr>
                      <w:b/>
                      <w:bCs/>
                      <w:szCs w:val="21"/>
                    </w:rPr>
                  </w:pPr>
                  <w:r>
                    <w:rPr>
                      <w:rFonts w:ascii="宋体" w:hAnsi="宋体" w:eastAsia="宋体"/>
                      <w:b/>
                      <w:bCs/>
                      <w:szCs w:val="21"/>
                    </w:rPr>
                    <w:t>下风向距离</w:t>
                  </w:r>
                </w:p>
              </w:tc>
              <w:tc>
                <w:tcPr>
                  <w:tcW w:w="4390" w:type="dxa"/>
                  <w:gridSpan w:val="2"/>
                  <w:vAlign w:val="center"/>
                </w:tcPr>
                <w:p>
                  <w:pPr>
                    <w:jc w:val="center"/>
                    <w:rPr>
                      <w:b/>
                      <w:bCs/>
                      <w:szCs w:val="21"/>
                    </w:rPr>
                  </w:pPr>
                  <w:r>
                    <w:rPr>
                      <w:rFonts w:hint="eastAsia"/>
                      <w:b/>
                      <w:bCs/>
                      <w:szCs w:val="21"/>
                    </w:rPr>
                    <w:t>无组织面源污染</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15" w:hRule="atLeast"/>
              </w:trPr>
              <w:tc>
                <w:tcPr>
                  <w:tcW w:w="2849" w:type="dxa"/>
                  <w:vMerge w:val="continue"/>
                  <w:vAlign w:val="center"/>
                </w:tcPr>
                <w:p>
                  <w:pPr>
                    <w:jc w:val="center"/>
                    <w:rPr>
                      <w:b/>
                      <w:bCs/>
                      <w:szCs w:val="21"/>
                    </w:rPr>
                  </w:pPr>
                </w:p>
              </w:tc>
              <w:tc>
                <w:tcPr>
                  <w:tcW w:w="2146" w:type="dxa"/>
                  <w:vAlign w:val="center"/>
                </w:tcPr>
                <w:p>
                  <w:pPr>
                    <w:jc w:val="center"/>
                    <w:rPr>
                      <w:b/>
                      <w:bCs/>
                      <w:szCs w:val="21"/>
                    </w:rPr>
                  </w:pPr>
                  <w:r>
                    <w:rPr>
                      <w:rFonts w:ascii="宋体" w:hAnsi="宋体" w:eastAsia="宋体"/>
                      <w:b/>
                      <w:bCs/>
                      <w:szCs w:val="21"/>
                    </w:rPr>
                    <w:t>TSP浓度(μg/m³)</w:t>
                  </w:r>
                </w:p>
              </w:tc>
              <w:tc>
                <w:tcPr>
                  <w:tcW w:w="2244" w:type="dxa"/>
                  <w:vAlign w:val="center"/>
                </w:tcPr>
                <w:p>
                  <w:pPr>
                    <w:jc w:val="center"/>
                    <w:rPr>
                      <w:b/>
                      <w:bCs/>
                      <w:szCs w:val="21"/>
                    </w:rPr>
                  </w:pPr>
                  <w:r>
                    <w:rPr>
                      <w:rFonts w:ascii="宋体" w:hAnsi="宋体" w:eastAsia="宋体"/>
                      <w:b/>
                      <w:bCs/>
                      <w:szCs w:val="21"/>
                    </w:rPr>
                    <w:t>TSP占标率(%)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15" w:hRule="atLeast"/>
              </w:trPr>
              <w:tc>
                <w:tcPr>
                  <w:tcW w:w="2849" w:type="dxa"/>
                  <w:vAlign w:val="center"/>
                </w:tcPr>
                <w:p>
                  <w:pPr>
                    <w:jc w:val="center"/>
                    <w:rPr>
                      <w:szCs w:val="21"/>
                    </w:rPr>
                  </w:pPr>
                  <w:r>
                    <w:rPr>
                      <w:rFonts w:ascii="宋体" w:hAnsi="宋体" w:eastAsia="宋体"/>
                      <w:szCs w:val="21"/>
                    </w:rPr>
                    <w:t>1.0</w:t>
                  </w:r>
                </w:p>
              </w:tc>
              <w:tc>
                <w:tcPr>
                  <w:tcW w:w="2146" w:type="dxa"/>
                  <w:vAlign w:val="center"/>
                </w:tcPr>
                <w:p>
                  <w:pPr>
                    <w:jc w:val="center"/>
                    <w:rPr>
                      <w:szCs w:val="21"/>
                    </w:rPr>
                  </w:pPr>
                  <w:r>
                    <w:rPr>
                      <w:rFonts w:ascii="宋体" w:hAnsi="宋体" w:eastAsia="宋体"/>
                      <w:szCs w:val="21"/>
                    </w:rPr>
                    <w:t>129.2200</w:t>
                  </w:r>
                </w:p>
              </w:tc>
              <w:tc>
                <w:tcPr>
                  <w:tcW w:w="2244" w:type="dxa"/>
                  <w:vAlign w:val="center"/>
                </w:tcPr>
                <w:p>
                  <w:pPr>
                    <w:jc w:val="center"/>
                    <w:rPr>
                      <w:szCs w:val="21"/>
                    </w:rPr>
                  </w:pPr>
                  <w:r>
                    <w:rPr>
                      <w:rFonts w:ascii="宋体" w:hAnsi="宋体" w:eastAsia="宋体"/>
                      <w:szCs w:val="21"/>
                    </w:rPr>
                    <w:t>14.3578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15" w:hRule="atLeast"/>
              </w:trPr>
              <w:tc>
                <w:tcPr>
                  <w:tcW w:w="2849" w:type="dxa"/>
                  <w:vAlign w:val="center"/>
                </w:tcPr>
                <w:p>
                  <w:pPr>
                    <w:jc w:val="center"/>
                    <w:rPr>
                      <w:szCs w:val="21"/>
                    </w:rPr>
                  </w:pPr>
                  <w:r>
                    <w:rPr>
                      <w:rFonts w:ascii="宋体" w:hAnsi="宋体" w:eastAsia="宋体"/>
                      <w:szCs w:val="21"/>
                    </w:rPr>
                    <w:t>25.0</w:t>
                  </w:r>
                </w:p>
              </w:tc>
              <w:tc>
                <w:tcPr>
                  <w:tcW w:w="2146" w:type="dxa"/>
                  <w:vAlign w:val="center"/>
                </w:tcPr>
                <w:p>
                  <w:pPr>
                    <w:jc w:val="center"/>
                    <w:rPr>
                      <w:szCs w:val="21"/>
                    </w:rPr>
                  </w:pPr>
                  <w:r>
                    <w:rPr>
                      <w:rFonts w:ascii="宋体" w:hAnsi="宋体" w:eastAsia="宋体"/>
                      <w:szCs w:val="21"/>
                    </w:rPr>
                    <w:t>155.3800</w:t>
                  </w:r>
                </w:p>
              </w:tc>
              <w:tc>
                <w:tcPr>
                  <w:tcW w:w="2244" w:type="dxa"/>
                  <w:vAlign w:val="center"/>
                </w:tcPr>
                <w:p>
                  <w:pPr>
                    <w:jc w:val="center"/>
                    <w:rPr>
                      <w:rFonts w:eastAsia="宋体"/>
                      <w:szCs w:val="21"/>
                    </w:rPr>
                  </w:pPr>
                  <w:r>
                    <w:rPr>
                      <w:rFonts w:ascii="宋体" w:hAnsi="宋体" w:eastAsia="宋体"/>
                      <w:szCs w:val="21"/>
                    </w:rPr>
                    <w:t>17.2</w:t>
                  </w:r>
                  <w:r>
                    <w:rPr>
                      <w:rFonts w:hint="eastAsia" w:ascii="宋体" w:hAnsi="宋体" w:eastAsia="宋体"/>
                      <w:szCs w:val="21"/>
                    </w:rPr>
                    <w:t>721.28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15" w:hRule="atLeast"/>
              </w:trPr>
              <w:tc>
                <w:tcPr>
                  <w:tcW w:w="2849" w:type="dxa"/>
                  <w:vAlign w:val="center"/>
                </w:tcPr>
                <w:p>
                  <w:pPr>
                    <w:jc w:val="center"/>
                    <w:rPr>
                      <w:szCs w:val="21"/>
                    </w:rPr>
                  </w:pPr>
                  <w:r>
                    <w:rPr>
                      <w:rFonts w:ascii="宋体" w:hAnsi="宋体" w:eastAsia="宋体"/>
                      <w:szCs w:val="21"/>
                    </w:rPr>
                    <w:t>50.0</w:t>
                  </w:r>
                </w:p>
              </w:tc>
              <w:tc>
                <w:tcPr>
                  <w:tcW w:w="2146" w:type="dxa"/>
                  <w:vAlign w:val="center"/>
                </w:tcPr>
                <w:p>
                  <w:pPr>
                    <w:jc w:val="center"/>
                    <w:rPr>
                      <w:szCs w:val="21"/>
                    </w:rPr>
                  </w:pPr>
                  <w:r>
                    <w:rPr>
                      <w:rFonts w:ascii="宋体" w:hAnsi="宋体" w:eastAsia="宋体"/>
                      <w:szCs w:val="21"/>
                    </w:rPr>
                    <w:t>181.8500</w:t>
                  </w:r>
                </w:p>
              </w:tc>
              <w:tc>
                <w:tcPr>
                  <w:tcW w:w="2244" w:type="dxa"/>
                  <w:vAlign w:val="center"/>
                </w:tcPr>
                <w:p>
                  <w:pPr>
                    <w:jc w:val="center"/>
                    <w:rPr>
                      <w:szCs w:val="21"/>
                    </w:rPr>
                  </w:pPr>
                  <w:r>
                    <w:rPr>
                      <w:rFonts w:ascii="宋体" w:hAnsi="宋体" w:eastAsia="宋体"/>
                      <w:szCs w:val="21"/>
                    </w:rPr>
                    <w:t>20.2056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15" w:hRule="atLeast"/>
              </w:trPr>
              <w:tc>
                <w:tcPr>
                  <w:tcW w:w="2849" w:type="dxa"/>
                  <w:vAlign w:val="center"/>
                </w:tcPr>
                <w:p>
                  <w:pPr>
                    <w:jc w:val="center"/>
                    <w:rPr>
                      <w:szCs w:val="21"/>
                    </w:rPr>
                  </w:pPr>
                  <w:r>
                    <w:rPr>
                      <w:rFonts w:ascii="宋体" w:hAnsi="宋体" w:eastAsia="宋体"/>
                      <w:szCs w:val="21"/>
                    </w:rPr>
                    <w:t>75.0</w:t>
                  </w:r>
                </w:p>
              </w:tc>
              <w:tc>
                <w:tcPr>
                  <w:tcW w:w="2146" w:type="dxa"/>
                  <w:vAlign w:val="center"/>
                </w:tcPr>
                <w:p>
                  <w:pPr>
                    <w:jc w:val="center"/>
                    <w:rPr>
                      <w:szCs w:val="21"/>
                    </w:rPr>
                  </w:pPr>
                  <w:r>
                    <w:rPr>
                      <w:rFonts w:ascii="宋体" w:hAnsi="宋体" w:eastAsia="宋体"/>
                      <w:szCs w:val="21"/>
                    </w:rPr>
                    <w:t>207.3500</w:t>
                  </w:r>
                </w:p>
              </w:tc>
              <w:tc>
                <w:tcPr>
                  <w:tcW w:w="2244" w:type="dxa"/>
                  <w:vAlign w:val="center"/>
                </w:tcPr>
                <w:p>
                  <w:pPr>
                    <w:jc w:val="center"/>
                    <w:rPr>
                      <w:szCs w:val="21"/>
                    </w:rPr>
                  </w:pPr>
                  <w:r>
                    <w:rPr>
                      <w:rFonts w:ascii="宋体" w:hAnsi="宋体" w:eastAsia="宋体"/>
                      <w:szCs w:val="21"/>
                    </w:rPr>
                    <w:t>23.0389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15" w:hRule="atLeast"/>
              </w:trPr>
              <w:tc>
                <w:tcPr>
                  <w:tcW w:w="2849" w:type="dxa"/>
                  <w:vAlign w:val="center"/>
                </w:tcPr>
                <w:p>
                  <w:pPr>
                    <w:jc w:val="center"/>
                    <w:rPr>
                      <w:szCs w:val="21"/>
                    </w:rPr>
                  </w:pPr>
                  <w:r>
                    <w:rPr>
                      <w:rFonts w:ascii="宋体" w:hAnsi="宋体" w:eastAsia="宋体"/>
                      <w:szCs w:val="21"/>
                    </w:rPr>
                    <w:t>100.0</w:t>
                  </w:r>
                </w:p>
              </w:tc>
              <w:tc>
                <w:tcPr>
                  <w:tcW w:w="2146" w:type="dxa"/>
                  <w:vAlign w:val="center"/>
                </w:tcPr>
                <w:p>
                  <w:pPr>
                    <w:jc w:val="center"/>
                    <w:rPr>
                      <w:szCs w:val="21"/>
                    </w:rPr>
                  </w:pPr>
                  <w:r>
                    <w:rPr>
                      <w:rFonts w:ascii="宋体" w:hAnsi="宋体" w:eastAsia="宋体"/>
                      <w:szCs w:val="21"/>
                    </w:rPr>
                    <w:t>231.8200</w:t>
                  </w:r>
                </w:p>
              </w:tc>
              <w:tc>
                <w:tcPr>
                  <w:tcW w:w="2244" w:type="dxa"/>
                  <w:vAlign w:val="center"/>
                </w:tcPr>
                <w:p>
                  <w:pPr>
                    <w:jc w:val="center"/>
                    <w:rPr>
                      <w:szCs w:val="21"/>
                    </w:rPr>
                  </w:pPr>
                  <w:r>
                    <w:rPr>
                      <w:rFonts w:ascii="宋体" w:hAnsi="宋体" w:eastAsia="宋体"/>
                      <w:szCs w:val="21"/>
                    </w:rPr>
                    <w:t>25.7578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15" w:hRule="atLeast"/>
              </w:trPr>
              <w:tc>
                <w:tcPr>
                  <w:tcW w:w="2849" w:type="dxa"/>
                  <w:vAlign w:val="center"/>
                </w:tcPr>
                <w:p>
                  <w:pPr>
                    <w:jc w:val="center"/>
                    <w:rPr>
                      <w:szCs w:val="21"/>
                    </w:rPr>
                  </w:pPr>
                  <w:r>
                    <w:rPr>
                      <w:rFonts w:ascii="宋体" w:hAnsi="宋体" w:eastAsia="宋体"/>
                      <w:szCs w:val="21"/>
                    </w:rPr>
                    <w:t>125.0</w:t>
                  </w:r>
                </w:p>
              </w:tc>
              <w:tc>
                <w:tcPr>
                  <w:tcW w:w="2146" w:type="dxa"/>
                  <w:vAlign w:val="center"/>
                </w:tcPr>
                <w:p>
                  <w:pPr>
                    <w:jc w:val="center"/>
                    <w:rPr>
                      <w:szCs w:val="21"/>
                    </w:rPr>
                  </w:pPr>
                  <w:r>
                    <w:rPr>
                      <w:rFonts w:ascii="宋体" w:hAnsi="宋体" w:eastAsia="宋体"/>
                      <w:szCs w:val="21"/>
                    </w:rPr>
                    <w:t>255.1600</w:t>
                  </w:r>
                </w:p>
              </w:tc>
              <w:tc>
                <w:tcPr>
                  <w:tcW w:w="2244" w:type="dxa"/>
                  <w:vAlign w:val="center"/>
                </w:tcPr>
                <w:p>
                  <w:pPr>
                    <w:jc w:val="center"/>
                    <w:rPr>
                      <w:szCs w:val="21"/>
                    </w:rPr>
                  </w:pPr>
                  <w:r>
                    <w:rPr>
                      <w:rFonts w:ascii="宋体" w:hAnsi="宋体" w:eastAsia="宋体"/>
                      <w:szCs w:val="21"/>
                    </w:rPr>
                    <w:t>28.3511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15" w:hRule="atLeast"/>
              </w:trPr>
              <w:tc>
                <w:tcPr>
                  <w:tcW w:w="2849" w:type="dxa"/>
                  <w:vAlign w:val="center"/>
                </w:tcPr>
                <w:p>
                  <w:pPr>
                    <w:jc w:val="center"/>
                    <w:rPr>
                      <w:szCs w:val="21"/>
                    </w:rPr>
                  </w:pPr>
                  <w:r>
                    <w:rPr>
                      <w:rFonts w:ascii="宋体" w:hAnsi="宋体" w:eastAsia="宋体"/>
                      <w:szCs w:val="21"/>
                    </w:rPr>
                    <w:t>144.05</w:t>
                  </w:r>
                </w:p>
              </w:tc>
              <w:tc>
                <w:tcPr>
                  <w:tcW w:w="2146" w:type="dxa"/>
                  <w:vAlign w:val="center"/>
                </w:tcPr>
                <w:p>
                  <w:pPr>
                    <w:jc w:val="center"/>
                    <w:rPr>
                      <w:szCs w:val="21"/>
                    </w:rPr>
                  </w:pPr>
                  <w:r>
                    <w:rPr>
                      <w:rFonts w:ascii="宋体" w:hAnsi="宋体" w:eastAsia="宋体"/>
                      <w:szCs w:val="21"/>
                    </w:rPr>
                    <w:t>266.0200</w:t>
                  </w:r>
                </w:p>
              </w:tc>
              <w:tc>
                <w:tcPr>
                  <w:tcW w:w="2244" w:type="dxa"/>
                  <w:vAlign w:val="center"/>
                </w:tcPr>
                <w:p>
                  <w:pPr>
                    <w:jc w:val="center"/>
                    <w:rPr>
                      <w:szCs w:val="21"/>
                    </w:rPr>
                  </w:pPr>
                  <w:r>
                    <w:rPr>
                      <w:rFonts w:ascii="宋体" w:hAnsi="宋体" w:eastAsia="宋体"/>
                      <w:szCs w:val="21"/>
                    </w:rPr>
                    <w:t>29.5578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15" w:hRule="atLeast"/>
              </w:trPr>
              <w:tc>
                <w:tcPr>
                  <w:tcW w:w="2849" w:type="dxa"/>
                  <w:vAlign w:val="center"/>
                </w:tcPr>
                <w:p>
                  <w:pPr>
                    <w:jc w:val="center"/>
                    <w:rPr>
                      <w:szCs w:val="21"/>
                    </w:rPr>
                  </w:pPr>
                  <w:r>
                    <w:rPr>
                      <w:rFonts w:ascii="宋体" w:hAnsi="宋体" w:eastAsia="宋体"/>
                      <w:szCs w:val="21"/>
                    </w:rPr>
                    <w:t>150.0</w:t>
                  </w:r>
                </w:p>
              </w:tc>
              <w:tc>
                <w:tcPr>
                  <w:tcW w:w="2146" w:type="dxa"/>
                  <w:vAlign w:val="center"/>
                </w:tcPr>
                <w:p>
                  <w:pPr>
                    <w:jc w:val="center"/>
                    <w:rPr>
                      <w:szCs w:val="21"/>
                    </w:rPr>
                  </w:pPr>
                  <w:r>
                    <w:rPr>
                      <w:rFonts w:ascii="宋体" w:hAnsi="宋体" w:eastAsia="宋体"/>
                      <w:szCs w:val="21"/>
                    </w:rPr>
                    <w:t>267.9000</w:t>
                  </w:r>
                </w:p>
              </w:tc>
              <w:tc>
                <w:tcPr>
                  <w:tcW w:w="2244" w:type="dxa"/>
                  <w:vAlign w:val="center"/>
                </w:tcPr>
                <w:p>
                  <w:pPr>
                    <w:jc w:val="center"/>
                    <w:rPr>
                      <w:szCs w:val="21"/>
                    </w:rPr>
                  </w:pPr>
                  <w:r>
                    <w:rPr>
                      <w:rFonts w:ascii="宋体" w:hAnsi="宋体" w:eastAsia="宋体"/>
                      <w:szCs w:val="21"/>
                    </w:rPr>
                    <w:t>29.7667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15" w:hRule="atLeast"/>
              </w:trPr>
              <w:tc>
                <w:tcPr>
                  <w:tcW w:w="2849" w:type="dxa"/>
                  <w:vAlign w:val="center"/>
                </w:tcPr>
                <w:p>
                  <w:pPr>
                    <w:jc w:val="center"/>
                    <w:rPr>
                      <w:szCs w:val="21"/>
                    </w:rPr>
                  </w:pPr>
                  <w:r>
                    <w:rPr>
                      <w:rFonts w:ascii="宋体" w:hAnsi="宋体" w:eastAsia="宋体"/>
                      <w:szCs w:val="21"/>
                    </w:rPr>
                    <w:t>159.0</w:t>
                  </w:r>
                </w:p>
              </w:tc>
              <w:tc>
                <w:tcPr>
                  <w:tcW w:w="2146" w:type="dxa"/>
                  <w:vAlign w:val="center"/>
                </w:tcPr>
                <w:p>
                  <w:pPr>
                    <w:jc w:val="center"/>
                    <w:rPr>
                      <w:szCs w:val="21"/>
                    </w:rPr>
                  </w:pPr>
                  <w:r>
                    <w:rPr>
                      <w:rFonts w:ascii="宋体" w:hAnsi="宋体" w:eastAsia="宋体"/>
                      <w:szCs w:val="21"/>
                    </w:rPr>
                    <w:t>269.0300</w:t>
                  </w:r>
                </w:p>
              </w:tc>
              <w:tc>
                <w:tcPr>
                  <w:tcW w:w="2244" w:type="dxa"/>
                  <w:vAlign w:val="center"/>
                </w:tcPr>
                <w:p>
                  <w:pPr>
                    <w:jc w:val="center"/>
                    <w:rPr>
                      <w:szCs w:val="21"/>
                    </w:rPr>
                  </w:pPr>
                  <w:r>
                    <w:rPr>
                      <w:rFonts w:ascii="宋体" w:hAnsi="宋体" w:eastAsia="宋体"/>
                      <w:szCs w:val="21"/>
                    </w:rPr>
                    <w:t>29.8922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15" w:hRule="atLeast"/>
              </w:trPr>
              <w:tc>
                <w:tcPr>
                  <w:tcW w:w="2849" w:type="dxa"/>
                  <w:vAlign w:val="center"/>
                </w:tcPr>
                <w:p>
                  <w:pPr>
                    <w:jc w:val="center"/>
                    <w:rPr>
                      <w:szCs w:val="21"/>
                    </w:rPr>
                  </w:pPr>
                  <w:r>
                    <w:rPr>
                      <w:rFonts w:ascii="宋体" w:hAnsi="宋体" w:eastAsia="宋体"/>
                      <w:szCs w:val="21"/>
                    </w:rPr>
                    <w:t>175.0</w:t>
                  </w:r>
                </w:p>
              </w:tc>
              <w:tc>
                <w:tcPr>
                  <w:tcW w:w="2146" w:type="dxa"/>
                  <w:vAlign w:val="center"/>
                </w:tcPr>
                <w:p>
                  <w:pPr>
                    <w:jc w:val="center"/>
                    <w:rPr>
                      <w:szCs w:val="21"/>
                    </w:rPr>
                  </w:pPr>
                  <w:r>
                    <w:rPr>
                      <w:rFonts w:ascii="宋体" w:hAnsi="宋体" w:eastAsia="宋体"/>
                      <w:szCs w:val="21"/>
                    </w:rPr>
                    <w:t>266.9200</w:t>
                  </w:r>
                </w:p>
              </w:tc>
              <w:tc>
                <w:tcPr>
                  <w:tcW w:w="2244" w:type="dxa"/>
                  <w:vAlign w:val="center"/>
                </w:tcPr>
                <w:p>
                  <w:pPr>
                    <w:jc w:val="center"/>
                    <w:rPr>
                      <w:szCs w:val="21"/>
                    </w:rPr>
                  </w:pPr>
                  <w:r>
                    <w:rPr>
                      <w:rFonts w:ascii="宋体" w:hAnsi="宋体" w:eastAsia="宋体"/>
                      <w:szCs w:val="21"/>
                    </w:rPr>
                    <w:t>29.6578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15" w:hRule="atLeast"/>
              </w:trPr>
              <w:tc>
                <w:tcPr>
                  <w:tcW w:w="2849" w:type="dxa"/>
                  <w:vAlign w:val="center"/>
                </w:tcPr>
                <w:p>
                  <w:pPr>
                    <w:jc w:val="center"/>
                    <w:rPr>
                      <w:szCs w:val="21"/>
                    </w:rPr>
                  </w:pPr>
                  <w:r>
                    <w:rPr>
                      <w:rFonts w:ascii="宋体" w:hAnsi="宋体" w:eastAsia="宋体"/>
                      <w:szCs w:val="21"/>
                    </w:rPr>
                    <w:t>200.0</w:t>
                  </w:r>
                </w:p>
              </w:tc>
              <w:tc>
                <w:tcPr>
                  <w:tcW w:w="2146" w:type="dxa"/>
                  <w:vAlign w:val="center"/>
                </w:tcPr>
                <w:p>
                  <w:pPr>
                    <w:jc w:val="center"/>
                    <w:rPr>
                      <w:szCs w:val="21"/>
                    </w:rPr>
                  </w:pPr>
                  <w:r>
                    <w:rPr>
                      <w:rFonts w:ascii="宋体" w:hAnsi="宋体" w:eastAsia="宋体"/>
                      <w:szCs w:val="21"/>
                    </w:rPr>
                    <w:t>256.8700</w:t>
                  </w:r>
                </w:p>
              </w:tc>
              <w:tc>
                <w:tcPr>
                  <w:tcW w:w="2244" w:type="dxa"/>
                  <w:vAlign w:val="center"/>
                </w:tcPr>
                <w:p>
                  <w:pPr>
                    <w:jc w:val="center"/>
                    <w:rPr>
                      <w:szCs w:val="21"/>
                    </w:rPr>
                  </w:pPr>
                  <w:r>
                    <w:rPr>
                      <w:rFonts w:ascii="宋体" w:hAnsi="宋体" w:eastAsia="宋体"/>
                      <w:szCs w:val="21"/>
                    </w:rPr>
                    <w:t>28.5411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15" w:hRule="atLeast"/>
              </w:trPr>
              <w:tc>
                <w:tcPr>
                  <w:tcW w:w="2849" w:type="dxa"/>
                  <w:vAlign w:val="center"/>
                </w:tcPr>
                <w:p>
                  <w:pPr>
                    <w:jc w:val="center"/>
                    <w:rPr>
                      <w:szCs w:val="21"/>
                    </w:rPr>
                  </w:pPr>
                  <w:r>
                    <w:rPr>
                      <w:rFonts w:ascii="宋体" w:hAnsi="宋体" w:eastAsia="宋体"/>
                      <w:szCs w:val="21"/>
                    </w:rPr>
                    <w:t>225.0</w:t>
                  </w:r>
                </w:p>
              </w:tc>
              <w:tc>
                <w:tcPr>
                  <w:tcW w:w="2146" w:type="dxa"/>
                  <w:vAlign w:val="center"/>
                </w:tcPr>
                <w:p>
                  <w:pPr>
                    <w:jc w:val="center"/>
                    <w:rPr>
                      <w:szCs w:val="21"/>
                    </w:rPr>
                  </w:pPr>
                  <w:r>
                    <w:rPr>
                      <w:rFonts w:ascii="宋体" w:hAnsi="宋体" w:eastAsia="宋体"/>
                      <w:szCs w:val="21"/>
                    </w:rPr>
                    <w:t>246.4700</w:t>
                  </w:r>
                </w:p>
              </w:tc>
              <w:tc>
                <w:tcPr>
                  <w:tcW w:w="2244" w:type="dxa"/>
                  <w:vAlign w:val="center"/>
                </w:tcPr>
                <w:p>
                  <w:pPr>
                    <w:jc w:val="center"/>
                    <w:rPr>
                      <w:szCs w:val="21"/>
                    </w:rPr>
                  </w:pPr>
                  <w:r>
                    <w:rPr>
                      <w:rFonts w:ascii="宋体" w:hAnsi="宋体" w:eastAsia="宋体"/>
                      <w:szCs w:val="21"/>
                    </w:rPr>
                    <w:t>27.3856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15" w:hRule="atLeast"/>
              </w:trPr>
              <w:tc>
                <w:tcPr>
                  <w:tcW w:w="2849" w:type="dxa"/>
                  <w:vAlign w:val="center"/>
                </w:tcPr>
                <w:p>
                  <w:pPr>
                    <w:jc w:val="center"/>
                    <w:rPr>
                      <w:szCs w:val="21"/>
                    </w:rPr>
                  </w:pPr>
                  <w:r>
                    <w:rPr>
                      <w:rFonts w:ascii="宋体" w:hAnsi="宋体" w:eastAsia="宋体"/>
                      <w:szCs w:val="21"/>
                    </w:rPr>
                    <w:t>228.84</w:t>
                  </w:r>
                </w:p>
              </w:tc>
              <w:tc>
                <w:tcPr>
                  <w:tcW w:w="2146" w:type="dxa"/>
                  <w:vAlign w:val="center"/>
                </w:tcPr>
                <w:p>
                  <w:pPr>
                    <w:jc w:val="center"/>
                    <w:rPr>
                      <w:szCs w:val="21"/>
                    </w:rPr>
                  </w:pPr>
                  <w:r>
                    <w:rPr>
                      <w:rFonts w:ascii="宋体" w:hAnsi="宋体" w:eastAsia="宋体"/>
                      <w:szCs w:val="21"/>
                    </w:rPr>
                    <w:t>245.0400</w:t>
                  </w:r>
                </w:p>
              </w:tc>
              <w:tc>
                <w:tcPr>
                  <w:tcW w:w="2244" w:type="dxa"/>
                  <w:vAlign w:val="center"/>
                </w:tcPr>
                <w:p>
                  <w:pPr>
                    <w:jc w:val="center"/>
                    <w:rPr>
                      <w:szCs w:val="21"/>
                    </w:rPr>
                  </w:pPr>
                  <w:r>
                    <w:rPr>
                      <w:rFonts w:ascii="宋体" w:hAnsi="宋体" w:eastAsia="宋体"/>
                      <w:szCs w:val="21"/>
                    </w:rPr>
                    <w:t>27.2267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15" w:hRule="atLeast"/>
              </w:trPr>
              <w:tc>
                <w:tcPr>
                  <w:tcW w:w="2849" w:type="dxa"/>
                  <w:vAlign w:val="center"/>
                </w:tcPr>
                <w:p>
                  <w:pPr>
                    <w:jc w:val="center"/>
                    <w:rPr>
                      <w:szCs w:val="21"/>
                    </w:rPr>
                  </w:pPr>
                  <w:r>
                    <w:rPr>
                      <w:rFonts w:ascii="宋体" w:hAnsi="宋体" w:eastAsia="宋体"/>
                      <w:szCs w:val="21"/>
                    </w:rPr>
                    <w:t>250.0</w:t>
                  </w:r>
                </w:p>
              </w:tc>
              <w:tc>
                <w:tcPr>
                  <w:tcW w:w="2146" w:type="dxa"/>
                  <w:vAlign w:val="center"/>
                </w:tcPr>
                <w:p>
                  <w:pPr>
                    <w:jc w:val="center"/>
                    <w:rPr>
                      <w:szCs w:val="21"/>
                    </w:rPr>
                  </w:pPr>
                  <w:r>
                    <w:rPr>
                      <w:rFonts w:ascii="宋体" w:hAnsi="宋体" w:eastAsia="宋体"/>
                      <w:szCs w:val="21"/>
                    </w:rPr>
                    <w:t>237.4900</w:t>
                  </w:r>
                </w:p>
              </w:tc>
              <w:tc>
                <w:tcPr>
                  <w:tcW w:w="2244" w:type="dxa"/>
                  <w:vAlign w:val="center"/>
                </w:tcPr>
                <w:p>
                  <w:pPr>
                    <w:jc w:val="center"/>
                    <w:rPr>
                      <w:szCs w:val="21"/>
                    </w:rPr>
                  </w:pPr>
                  <w:r>
                    <w:rPr>
                      <w:rFonts w:ascii="宋体" w:hAnsi="宋体" w:eastAsia="宋体"/>
                      <w:szCs w:val="21"/>
                    </w:rPr>
                    <w:t>26.3878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15" w:hRule="atLeast"/>
              </w:trPr>
              <w:tc>
                <w:tcPr>
                  <w:tcW w:w="2849" w:type="dxa"/>
                  <w:vAlign w:val="center"/>
                </w:tcPr>
                <w:p>
                  <w:pPr>
                    <w:jc w:val="center"/>
                    <w:rPr>
                      <w:szCs w:val="21"/>
                    </w:rPr>
                  </w:pPr>
                  <w:r>
                    <w:rPr>
                      <w:rFonts w:ascii="宋体" w:hAnsi="宋体" w:eastAsia="宋体"/>
                      <w:szCs w:val="21"/>
                    </w:rPr>
                    <w:t>275.0</w:t>
                  </w:r>
                </w:p>
              </w:tc>
              <w:tc>
                <w:tcPr>
                  <w:tcW w:w="2146" w:type="dxa"/>
                  <w:vAlign w:val="center"/>
                </w:tcPr>
                <w:p>
                  <w:pPr>
                    <w:jc w:val="center"/>
                    <w:rPr>
                      <w:szCs w:val="21"/>
                    </w:rPr>
                  </w:pPr>
                  <w:r>
                    <w:rPr>
                      <w:rFonts w:ascii="宋体" w:hAnsi="宋体" w:eastAsia="宋体"/>
                      <w:szCs w:val="21"/>
                    </w:rPr>
                    <w:t>229.0100</w:t>
                  </w:r>
                </w:p>
              </w:tc>
              <w:tc>
                <w:tcPr>
                  <w:tcW w:w="2244" w:type="dxa"/>
                  <w:vAlign w:val="center"/>
                </w:tcPr>
                <w:p>
                  <w:pPr>
                    <w:jc w:val="center"/>
                    <w:rPr>
                      <w:szCs w:val="21"/>
                    </w:rPr>
                  </w:pPr>
                  <w:r>
                    <w:rPr>
                      <w:rFonts w:ascii="宋体" w:hAnsi="宋体" w:eastAsia="宋体"/>
                      <w:szCs w:val="21"/>
                    </w:rPr>
                    <w:t>25.4456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15" w:hRule="atLeast"/>
              </w:trPr>
              <w:tc>
                <w:tcPr>
                  <w:tcW w:w="2849" w:type="dxa"/>
                  <w:vAlign w:val="center"/>
                </w:tcPr>
                <w:p>
                  <w:pPr>
                    <w:jc w:val="center"/>
                    <w:rPr>
                      <w:szCs w:val="21"/>
                    </w:rPr>
                  </w:pPr>
                  <w:r>
                    <w:rPr>
                      <w:rFonts w:ascii="宋体" w:hAnsi="宋体" w:eastAsia="宋体"/>
                      <w:szCs w:val="21"/>
                    </w:rPr>
                    <w:t>300.0</w:t>
                  </w:r>
                </w:p>
              </w:tc>
              <w:tc>
                <w:tcPr>
                  <w:tcW w:w="2146" w:type="dxa"/>
                  <w:vAlign w:val="center"/>
                </w:tcPr>
                <w:p>
                  <w:pPr>
                    <w:jc w:val="center"/>
                    <w:rPr>
                      <w:szCs w:val="21"/>
                    </w:rPr>
                  </w:pPr>
                  <w:r>
                    <w:rPr>
                      <w:rFonts w:ascii="宋体" w:hAnsi="宋体" w:eastAsia="宋体"/>
                      <w:szCs w:val="21"/>
                    </w:rPr>
                    <w:t>220.9400</w:t>
                  </w:r>
                </w:p>
              </w:tc>
              <w:tc>
                <w:tcPr>
                  <w:tcW w:w="2244" w:type="dxa"/>
                  <w:vAlign w:val="center"/>
                </w:tcPr>
                <w:p>
                  <w:pPr>
                    <w:jc w:val="center"/>
                    <w:rPr>
                      <w:szCs w:val="21"/>
                    </w:rPr>
                  </w:pPr>
                  <w:r>
                    <w:rPr>
                      <w:rFonts w:ascii="宋体" w:hAnsi="宋体" w:eastAsia="宋体"/>
                      <w:szCs w:val="21"/>
                    </w:rPr>
                    <w:t>24.5489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15" w:hRule="atLeast"/>
              </w:trPr>
              <w:tc>
                <w:tcPr>
                  <w:tcW w:w="2849" w:type="dxa"/>
                  <w:vAlign w:val="center"/>
                </w:tcPr>
                <w:p>
                  <w:pPr>
                    <w:jc w:val="center"/>
                    <w:rPr>
                      <w:szCs w:val="21"/>
                    </w:rPr>
                  </w:pPr>
                  <w:r>
                    <w:rPr>
                      <w:rFonts w:ascii="宋体" w:hAnsi="宋体" w:eastAsia="宋体"/>
                      <w:szCs w:val="21"/>
                    </w:rPr>
                    <w:t>325.0</w:t>
                  </w:r>
                </w:p>
              </w:tc>
              <w:tc>
                <w:tcPr>
                  <w:tcW w:w="2146" w:type="dxa"/>
                  <w:vAlign w:val="center"/>
                </w:tcPr>
                <w:p>
                  <w:pPr>
                    <w:jc w:val="center"/>
                    <w:rPr>
                      <w:szCs w:val="21"/>
                    </w:rPr>
                  </w:pPr>
                  <w:r>
                    <w:rPr>
                      <w:rFonts w:ascii="宋体" w:hAnsi="宋体" w:eastAsia="宋体"/>
                      <w:szCs w:val="21"/>
                    </w:rPr>
                    <w:t>213.1300</w:t>
                  </w:r>
                </w:p>
              </w:tc>
              <w:tc>
                <w:tcPr>
                  <w:tcW w:w="2244" w:type="dxa"/>
                  <w:vAlign w:val="center"/>
                </w:tcPr>
                <w:p>
                  <w:pPr>
                    <w:jc w:val="center"/>
                    <w:rPr>
                      <w:szCs w:val="21"/>
                    </w:rPr>
                  </w:pPr>
                  <w:r>
                    <w:rPr>
                      <w:rFonts w:ascii="宋体" w:hAnsi="宋体" w:eastAsia="宋体"/>
                      <w:szCs w:val="21"/>
                    </w:rPr>
                    <w:t>23.6811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15" w:hRule="atLeast"/>
              </w:trPr>
              <w:tc>
                <w:tcPr>
                  <w:tcW w:w="2849" w:type="dxa"/>
                  <w:vAlign w:val="center"/>
                </w:tcPr>
                <w:p>
                  <w:pPr>
                    <w:jc w:val="center"/>
                    <w:rPr>
                      <w:szCs w:val="21"/>
                    </w:rPr>
                  </w:pPr>
                  <w:r>
                    <w:rPr>
                      <w:rFonts w:ascii="宋体" w:hAnsi="宋体" w:eastAsia="宋体"/>
                      <w:szCs w:val="21"/>
                    </w:rPr>
                    <w:t>331.43</w:t>
                  </w:r>
                </w:p>
              </w:tc>
              <w:tc>
                <w:tcPr>
                  <w:tcW w:w="2146" w:type="dxa"/>
                  <w:vAlign w:val="center"/>
                </w:tcPr>
                <w:p>
                  <w:pPr>
                    <w:jc w:val="center"/>
                    <w:rPr>
                      <w:szCs w:val="21"/>
                    </w:rPr>
                  </w:pPr>
                  <w:r>
                    <w:rPr>
                      <w:rFonts w:ascii="宋体" w:hAnsi="宋体" w:eastAsia="宋体"/>
                      <w:szCs w:val="21"/>
                    </w:rPr>
                    <w:t>211.2300</w:t>
                  </w:r>
                </w:p>
              </w:tc>
              <w:tc>
                <w:tcPr>
                  <w:tcW w:w="2244" w:type="dxa"/>
                  <w:vAlign w:val="center"/>
                </w:tcPr>
                <w:p>
                  <w:pPr>
                    <w:jc w:val="center"/>
                    <w:rPr>
                      <w:szCs w:val="21"/>
                    </w:rPr>
                  </w:pPr>
                  <w:r>
                    <w:rPr>
                      <w:rFonts w:ascii="宋体" w:hAnsi="宋体" w:eastAsia="宋体"/>
                      <w:szCs w:val="21"/>
                    </w:rPr>
                    <w:t>23.4700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15" w:hRule="atLeast"/>
              </w:trPr>
              <w:tc>
                <w:tcPr>
                  <w:tcW w:w="2849" w:type="dxa"/>
                  <w:vAlign w:val="center"/>
                </w:tcPr>
                <w:p>
                  <w:pPr>
                    <w:jc w:val="center"/>
                    <w:rPr>
                      <w:szCs w:val="21"/>
                    </w:rPr>
                  </w:pPr>
                  <w:r>
                    <w:rPr>
                      <w:rFonts w:ascii="宋体" w:hAnsi="宋体" w:eastAsia="宋体"/>
                      <w:szCs w:val="21"/>
                    </w:rPr>
                    <w:t>350.0</w:t>
                  </w:r>
                </w:p>
              </w:tc>
              <w:tc>
                <w:tcPr>
                  <w:tcW w:w="2146" w:type="dxa"/>
                  <w:vAlign w:val="center"/>
                </w:tcPr>
                <w:p>
                  <w:pPr>
                    <w:jc w:val="center"/>
                    <w:rPr>
                      <w:szCs w:val="21"/>
                    </w:rPr>
                  </w:pPr>
                  <w:r>
                    <w:rPr>
                      <w:rFonts w:ascii="宋体" w:hAnsi="宋体" w:eastAsia="宋体"/>
                      <w:szCs w:val="21"/>
                    </w:rPr>
                    <w:t>205.8000</w:t>
                  </w:r>
                </w:p>
              </w:tc>
              <w:tc>
                <w:tcPr>
                  <w:tcW w:w="2244" w:type="dxa"/>
                  <w:vAlign w:val="center"/>
                </w:tcPr>
                <w:p>
                  <w:pPr>
                    <w:jc w:val="center"/>
                    <w:rPr>
                      <w:szCs w:val="21"/>
                    </w:rPr>
                  </w:pPr>
                  <w:r>
                    <w:rPr>
                      <w:rFonts w:ascii="宋体" w:hAnsi="宋体" w:eastAsia="宋体"/>
                      <w:szCs w:val="21"/>
                    </w:rPr>
                    <w:t>22.8667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15" w:hRule="atLeast"/>
              </w:trPr>
              <w:tc>
                <w:tcPr>
                  <w:tcW w:w="2849" w:type="dxa"/>
                  <w:vAlign w:val="center"/>
                </w:tcPr>
                <w:p>
                  <w:pPr>
                    <w:jc w:val="center"/>
                    <w:rPr>
                      <w:szCs w:val="21"/>
                    </w:rPr>
                  </w:pPr>
                  <w:r>
                    <w:rPr>
                      <w:rFonts w:ascii="宋体" w:hAnsi="宋体" w:eastAsia="宋体"/>
                      <w:szCs w:val="21"/>
                    </w:rPr>
                    <w:t>375.0</w:t>
                  </w:r>
                </w:p>
              </w:tc>
              <w:tc>
                <w:tcPr>
                  <w:tcW w:w="2146" w:type="dxa"/>
                  <w:vAlign w:val="center"/>
                </w:tcPr>
                <w:p>
                  <w:pPr>
                    <w:jc w:val="center"/>
                    <w:rPr>
                      <w:szCs w:val="21"/>
                    </w:rPr>
                  </w:pPr>
                  <w:r>
                    <w:rPr>
                      <w:rFonts w:ascii="宋体" w:hAnsi="宋体" w:eastAsia="宋体"/>
                      <w:szCs w:val="21"/>
                    </w:rPr>
                    <w:t>198.9000</w:t>
                  </w:r>
                </w:p>
              </w:tc>
              <w:tc>
                <w:tcPr>
                  <w:tcW w:w="2244" w:type="dxa"/>
                  <w:vAlign w:val="center"/>
                </w:tcPr>
                <w:p>
                  <w:pPr>
                    <w:jc w:val="center"/>
                    <w:rPr>
                      <w:szCs w:val="21"/>
                    </w:rPr>
                  </w:pPr>
                  <w:r>
                    <w:rPr>
                      <w:rFonts w:ascii="宋体" w:hAnsi="宋体" w:eastAsia="宋体"/>
                      <w:szCs w:val="21"/>
                    </w:rPr>
                    <w:t>22.1000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15" w:hRule="atLeast"/>
              </w:trPr>
              <w:tc>
                <w:tcPr>
                  <w:tcW w:w="2849" w:type="dxa"/>
                  <w:vAlign w:val="center"/>
                </w:tcPr>
                <w:p>
                  <w:pPr>
                    <w:jc w:val="center"/>
                    <w:rPr>
                      <w:szCs w:val="21"/>
                    </w:rPr>
                  </w:pPr>
                  <w:r>
                    <w:rPr>
                      <w:rFonts w:ascii="宋体" w:hAnsi="宋体" w:eastAsia="宋体"/>
                      <w:szCs w:val="21"/>
                    </w:rPr>
                    <w:t>385.99</w:t>
                  </w:r>
                </w:p>
              </w:tc>
              <w:tc>
                <w:tcPr>
                  <w:tcW w:w="2146" w:type="dxa"/>
                  <w:vAlign w:val="center"/>
                </w:tcPr>
                <w:p>
                  <w:pPr>
                    <w:jc w:val="center"/>
                    <w:rPr>
                      <w:szCs w:val="21"/>
                    </w:rPr>
                  </w:pPr>
                  <w:r>
                    <w:rPr>
                      <w:rFonts w:ascii="宋体" w:hAnsi="宋体" w:eastAsia="宋体"/>
                      <w:szCs w:val="21"/>
                    </w:rPr>
                    <w:t>195.9500</w:t>
                  </w:r>
                </w:p>
              </w:tc>
              <w:tc>
                <w:tcPr>
                  <w:tcW w:w="2244" w:type="dxa"/>
                  <w:vAlign w:val="center"/>
                </w:tcPr>
                <w:p>
                  <w:pPr>
                    <w:jc w:val="center"/>
                    <w:rPr>
                      <w:szCs w:val="21"/>
                    </w:rPr>
                  </w:pPr>
                  <w:r>
                    <w:rPr>
                      <w:rFonts w:ascii="宋体" w:hAnsi="宋体" w:eastAsia="宋体"/>
                      <w:szCs w:val="21"/>
                    </w:rPr>
                    <w:t>21.7722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15" w:hRule="atLeast"/>
              </w:trPr>
              <w:tc>
                <w:tcPr>
                  <w:tcW w:w="2849" w:type="dxa"/>
                  <w:vAlign w:val="center"/>
                </w:tcPr>
                <w:p>
                  <w:pPr>
                    <w:jc w:val="center"/>
                    <w:rPr>
                      <w:szCs w:val="21"/>
                    </w:rPr>
                  </w:pPr>
                  <w:r>
                    <w:rPr>
                      <w:rFonts w:ascii="宋体" w:hAnsi="宋体" w:eastAsia="宋体"/>
                      <w:szCs w:val="21"/>
                    </w:rPr>
                    <w:t>389.16</w:t>
                  </w:r>
                </w:p>
              </w:tc>
              <w:tc>
                <w:tcPr>
                  <w:tcW w:w="2146" w:type="dxa"/>
                  <w:vAlign w:val="center"/>
                </w:tcPr>
                <w:p>
                  <w:pPr>
                    <w:jc w:val="center"/>
                    <w:rPr>
                      <w:szCs w:val="21"/>
                    </w:rPr>
                  </w:pPr>
                  <w:r>
                    <w:rPr>
                      <w:rFonts w:ascii="宋体" w:hAnsi="宋体" w:eastAsia="宋体"/>
                      <w:szCs w:val="21"/>
                    </w:rPr>
                    <w:t>195.1200</w:t>
                  </w:r>
                </w:p>
              </w:tc>
              <w:tc>
                <w:tcPr>
                  <w:tcW w:w="2244" w:type="dxa"/>
                  <w:vAlign w:val="center"/>
                </w:tcPr>
                <w:p>
                  <w:pPr>
                    <w:jc w:val="center"/>
                    <w:rPr>
                      <w:szCs w:val="21"/>
                    </w:rPr>
                  </w:pPr>
                  <w:r>
                    <w:rPr>
                      <w:rFonts w:ascii="宋体" w:hAnsi="宋体" w:eastAsia="宋体"/>
                      <w:szCs w:val="21"/>
                    </w:rPr>
                    <w:t>21.6800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15" w:hRule="atLeast"/>
              </w:trPr>
              <w:tc>
                <w:tcPr>
                  <w:tcW w:w="2849" w:type="dxa"/>
                  <w:vAlign w:val="center"/>
                </w:tcPr>
                <w:p>
                  <w:pPr>
                    <w:jc w:val="center"/>
                    <w:rPr>
                      <w:szCs w:val="21"/>
                    </w:rPr>
                  </w:pPr>
                  <w:r>
                    <w:rPr>
                      <w:rFonts w:ascii="宋体" w:hAnsi="宋体" w:eastAsia="宋体"/>
                      <w:szCs w:val="21"/>
                    </w:rPr>
                    <w:t>400.0</w:t>
                  </w:r>
                </w:p>
              </w:tc>
              <w:tc>
                <w:tcPr>
                  <w:tcW w:w="2146" w:type="dxa"/>
                  <w:vAlign w:val="center"/>
                </w:tcPr>
                <w:p>
                  <w:pPr>
                    <w:jc w:val="center"/>
                    <w:rPr>
                      <w:szCs w:val="21"/>
                    </w:rPr>
                  </w:pPr>
                  <w:r>
                    <w:rPr>
                      <w:rFonts w:ascii="宋体" w:hAnsi="宋体" w:eastAsia="宋体"/>
                      <w:szCs w:val="21"/>
                    </w:rPr>
                    <w:t>192.4000</w:t>
                  </w:r>
                </w:p>
              </w:tc>
              <w:tc>
                <w:tcPr>
                  <w:tcW w:w="2244" w:type="dxa"/>
                  <w:vAlign w:val="center"/>
                </w:tcPr>
                <w:p>
                  <w:pPr>
                    <w:jc w:val="center"/>
                    <w:rPr>
                      <w:szCs w:val="21"/>
                    </w:rPr>
                  </w:pPr>
                  <w:r>
                    <w:rPr>
                      <w:rFonts w:ascii="宋体" w:hAnsi="宋体" w:eastAsia="宋体"/>
                      <w:szCs w:val="21"/>
                    </w:rPr>
                    <w:t>21.3778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15" w:hRule="atLeast"/>
              </w:trPr>
              <w:tc>
                <w:tcPr>
                  <w:tcW w:w="2849" w:type="dxa"/>
                  <w:vAlign w:val="center"/>
                </w:tcPr>
                <w:p>
                  <w:pPr>
                    <w:jc w:val="center"/>
                    <w:rPr>
                      <w:szCs w:val="21"/>
                    </w:rPr>
                  </w:pPr>
                  <w:r>
                    <w:rPr>
                      <w:rFonts w:ascii="宋体" w:hAnsi="宋体" w:eastAsia="宋体"/>
                      <w:szCs w:val="21"/>
                    </w:rPr>
                    <w:t>425.0</w:t>
                  </w:r>
                </w:p>
              </w:tc>
              <w:tc>
                <w:tcPr>
                  <w:tcW w:w="2146" w:type="dxa"/>
                  <w:vAlign w:val="center"/>
                </w:tcPr>
                <w:p>
                  <w:pPr>
                    <w:jc w:val="center"/>
                    <w:rPr>
                      <w:szCs w:val="21"/>
                    </w:rPr>
                  </w:pPr>
                  <w:r>
                    <w:rPr>
                      <w:rFonts w:ascii="宋体" w:hAnsi="宋体" w:eastAsia="宋体"/>
                      <w:szCs w:val="21"/>
                    </w:rPr>
                    <w:t>186.2800</w:t>
                  </w:r>
                </w:p>
              </w:tc>
              <w:tc>
                <w:tcPr>
                  <w:tcW w:w="2244" w:type="dxa"/>
                  <w:vAlign w:val="center"/>
                </w:tcPr>
                <w:p>
                  <w:pPr>
                    <w:jc w:val="center"/>
                    <w:rPr>
                      <w:szCs w:val="21"/>
                    </w:rPr>
                  </w:pPr>
                  <w:r>
                    <w:rPr>
                      <w:rFonts w:ascii="宋体" w:hAnsi="宋体" w:eastAsia="宋体"/>
                      <w:szCs w:val="21"/>
                    </w:rPr>
                    <w:t>20.6978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15" w:hRule="atLeast"/>
              </w:trPr>
              <w:tc>
                <w:tcPr>
                  <w:tcW w:w="2849" w:type="dxa"/>
                  <w:vAlign w:val="center"/>
                </w:tcPr>
                <w:p>
                  <w:pPr>
                    <w:jc w:val="center"/>
                    <w:rPr>
                      <w:szCs w:val="21"/>
                    </w:rPr>
                  </w:pPr>
                  <w:r>
                    <w:rPr>
                      <w:rFonts w:ascii="宋体" w:hAnsi="宋体" w:eastAsia="宋体"/>
                      <w:szCs w:val="21"/>
                    </w:rPr>
                    <w:t>450.0</w:t>
                  </w:r>
                </w:p>
              </w:tc>
              <w:tc>
                <w:tcPr>
                  <w:tcW w:w="2146" w:type="dxa"/>
                  <w:vAlign w:val="center"/>
                </w:tcPr>
                <w:p>
                  <w:pPr>
                    <w:jc w:val="center"/>
                    <w:rPr>
                      <w:szCs w:val="21"/>
                    </w:rPr>
                  </w:pPr>
                  <w:r>
                    <w:rPr>
                      <w:rFonts w:ascii="宋体" w:hAnsi="宋体" w:eastAsia="宋体"/>
                      <w:szCs w:val="21"/>
                    </w:rPr>
                    <w:t>180.6800</w:t>
                  </w:r>
                </w:p>
              </w:tc>
              <w:tc>
                <w:tcPr>
                  <w:tcW w:w="2244" w:type="dxa"/>
                  <w:vAlign w:val="center"/>
                </w:tcPr>
                <w:p>
                  <w:pPr>
                    <w:jc w:val="center"/>
                    <w:rPr>
                      <w:szCs w:val="21"/>
                    </w:rPr>
                  </w:pPr>
                  <w:r>
                    <w:rPr>
                      <w:rFonts w:ascii="宋体" w:hAnsi="宋体" w:eastAsia="宋体"/>
                      <w:szCs w:val="21"/>
                    </w:rPr>
                    <w:t>20.0756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15" w:hRule="atLeast"/>
              </w:trPr>
              <w:tc>
                <w:tcPr>
                  <w:tcW w:w="2849" w:type="dxa"/>
                  <w:vAlign w:val="center"/>
                </w:tcPr>
                <w:p>
                  <w:pPr>
                    <w:jc w:val="center"/>
                    <w:rPr>
                      <w:szCs w:val="21"/>
                    </w:rPr>
                  </w:pPr>
                  <w:r>
                    <w:rPr>
                      <w:rFonts w:ascii="宋体" w:hAnsi="宋体" w:eastAsia="宋体"/>
                      <w:szCs w:val="21"/>
                    </w:rPr>
                    <w:t>475.0</w:t>
                  </w:r>
                </w:p>
              </w:tc>
              <w:tc>
                <w:tcPr>
                  <w:tcW w:w="2146" w:type="dxa"/>
                  <w:vAlign w:val="center"/>
                </w:tcPr>
                <w:p>
                  <w:pPr>
                    <w:jc w:val="center"/>
                    <w:rPr>
                      <w:szCs w:val="21"/>
                    </w:rPr>
                  </w:pPr>
                  <w:r>
                    <w:rPr>
                      <w:rFonts w:ascii="宋体" w:hAnsi="宋体" w:eastAsia="宋体"/>
                      <w:szCs w:val="21"/>
                    </w:rPr>
                    <w:t>175.2000</w:t>
                  </w:r>
                </w:p>
              </w:tc>
              <w:tc>
                <w:tcPr>
                  <w:tcW w:w="2244" w:type="dxa"/>
                  <w:vAlign w:val="center"/>
                </w:tcPr>
                <w:p>
                  <w:pPr>
                    <w:jc w:val="center"/>
                    <w:rPr>
                      <w:szCs w:val="21"/>
                    </w:rPr>
                  </w:pPr>
                  <w:r>
                    <w:rPr>
                      <w:rFonts w:ascii="宋体" w:hAnsi="宋体" w:eastAsia="宋体"/>
                      <w:szCs w:val="21"/>
                    </w:rPr>
                    <w:t>19.4667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15" w:hRule="atLeast"/>
              </w:trPr>
              <w:tc>
                <w:tcPr>
                  <w:tcW w:w="2849" w:type="dxa"/>
                  <w:vAlign w:val="center"/>
                </w:tcPr>
                <w:p>
                  <w:pPr>
                    <w:jc w:val="center"/>
                    <w:rPr>
                      <w:szCs w:val="21"/>
                    </w:rPr>
                  </w:pPr>
                  <w:r>
                    <w:rPr>
                      <w:rFonts w:ascii="宋体" w:hAnsi="宋体" w:eastAsia="宋体"/>
                      <w:szCs w:val="21"/>
                    </w:rPr>
                    <w:t>500.0</w:t>
                  </w:r>
                </w:p>
              </w:tc>
              <w:tc>
                <w:tcPr>
                  <w:tcW w:w="2146" w:type="dxa"/>
                  <w:vAlign w:val="center"/>
                </w:tcPr>
                <w:p>
                  <w:pPr>
                    <w:jc w:val="center"/>
                    <w:rPr>
                      <w:szCs w:val="21"/>
                    </w:rPr>
                  </w:pPr>
                  <w:r>
                    <w:rPr>
                      <w:rFonts w:ascii="宋体" w:hAnsi="宋体" w:eastAsia="宋体"/>
                      <w:szCs w:val="21"/>
                    </w:rPr>
                    <w:t>170.2100</w:t>
                  </w:r>
                </w:p>
              </w:tc>
              <w:tc>
                <w:tcPr>
                  <w:tcW w:w="2244" w:type="dxa"/>
                  <w:vAlign w:val="center"/>
                </w:tcPr>
                <w:p>
                  <w:pPr>
                    <w:jc w:val="center"/>
                    <w:rPr>
                      <w:szCs w:val="21"/>
                    </w:rPr>
                  </w:pPr>
                  <w:r>
                    <w:rPr>
                      <w:rFonts w:ascii="宋体" w:hAnsi="宋体" w:eastAsia="宋体"/>
                      <w:szCs w:val="21"/>
                    </w:rPr>
                    <w:t>18.9122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15" w:hRule="atLeast"/>
              </w:trPr>
              <w:tc>
                <w:tcPr>
                  <w:tcW w:w="2849" w:type="dxa"/>
                  <w:vAlign w:val="center"/>
                </w:tcPr>
                <w:p>
                  <w:pPr>
                    <w:jc w:val="center"/>
                    <w:rPr>
                      <w:szCs w:val="21"/>
                    </w:rPr>
                  </w:pPr>
                  <w:r>
                    <w:rPr>
                      <w:rFonts w:ascii="宋体" w:hAnsi="宋体" w:eastAsia="宋体"/>
                      <w:szCs w:val="21"/>
                    </w:rPr>
                    <w:t>下风向最大浓度</w:t>
                  </w:r>
                </w:p>
              </w:tc>
              <w:tc>
                <w:tcPr>
                  <w:tcW w:w="2146" w:type="dxa"/>
                  <w:vAlign w:val="center"/>
                </w:tcPr>
                <w:p>
                  <w:pPr>
                    <w:jc w:val="center"/>
                    <w:rPr>
                      <w:szCs w:val="21"/>
                    </w:rPr>
                  </w:pPr>
                  <w:r>
                    <w:rPr>
                      <w:rFonts w:ascii="宋体" w:hAnsi="宋体" w:eastAsia="宋体"/>
                      <w:szCs w:val="21"/>
                    </w:rPr>
                    <w:t>269.0300</w:t>
                  </w:r>
                </w:p>
              </w:tc>
              <w:tc>
                <w:tcPr>
                  <w:tcW w:w="2244" w:type="dxa"/>
                  <w:vAlign w:val="center"/>
                </w:tcPr>
                <w:p>
                  <w:pPr>
                    <w:jc w:val="center"/>
                    <w:rPr>
                      <w:szCs w:val="21"/>
                    </w:rPr>
                  </w:pPr>
                  <w:r>
                    <w:rPr>
                      <w:rFonts w:ascii="宋体" w:hAnsi="宋体" w:eastAsia="宋体"/>
                      <w:szCs w:val="21"/>
                    </w:rPr>
                    <w:t>29.8922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20" w:hRule="atLeast"/>
              </w:trPr>
              <w:tc>
                <w:tcPr>
                  <w:tcW w:w="2849" w:type="dxa"/>
                  <w:vAlign w:val="center"/>
                </w:tcPr>
                <w:p>
                  <w:pPr>
                    <w:jc w:val="center"/>
                    <w:rPr>
                      <w:szCs w:val="21"/>
                    </w:rPr>
                  </w:pPr>
                  <w:r>
                    <w:rPr>
                      <w:rFonts w:ascii="宋体" w:hAnsi="宋体" w:eastAsia="宋体"/>
                      <w:szCs w:val="21"/>
                    </w:rPr>
                    <w:t>下风向最大浓度出现距离</w:t>
                  </w:r>
                </w:p>
              </w:tc>
              <w:tc>
                <w:tcPr>
                  <w:tcW w:w="2146" w:type="dxa"/>
                  <w:vAlign w:val="center"/>
                </w:tcPr>
                <w:p>
                  <w:pPr>
                    <w:jc w:val="center"/>
                    <w:rPr>
                      <w:szCs w:val="21"/>
                    </w:rPr>
                  </w:pPr>
                  <w:r>
                    <w:rPr>
                      <w:rFonts w:ascii="宋体" w:hAnsi="宋体" w:eastAsia="宋体"/>
                      <w:szCs w:val="21"/>
                    </w:rPr>
                    <w:t>159.0</w:t>
                  </w:r>
                </w:p>
              </w:tc>
              <w:tc>
                <w:tcPr>
                  <w:tcW w:w="2244" w:type="dxa"/>
                  <w:vAlign w:val="center"/>
                </w:tcPr>
                <w:p>
                  <w:pPr>
                    <w:jc w:val="center"/>
                    <w:rPr>
                      <w:szCs w:val="21"/>
                    </w:rPr>
                  </w:pPr>
                  <w:r>
                    <w:rPr>
                      <w:rFonts w:ascii="宋体" w:hAnsi="宋体" w:eastAsia="宋体"/>
                      <w:szCs w:val="21"/>
                    </w:rPr>
                    <w:t>159.0</w:t>
                  </w:r>
                </w:p>
              </w:tc>
            </w:tr>
          </w:tbl>
          <w:p>
            <w:pPr>
              <w:adjustRightInd w:val="0"/>
              <w:snapToGrid w:val="0"/>
              <w:spacing w:line="360" w:lineRule="auto"/>
              <w:ind w:firstLine="480" w:firstLineChars="200"/>
              <w:rPr>
                <w:rFonts w:ascii="宋体" w:hAnsi="宋体" w:eastAsia="宋体" w:cs="宋体"/>
                <w:sz w:val="24"/>
              </w:rPr>
            </w:pPr>
          </w:p>
          <w:p>
            <w:pPr>
              <w:adjustRightInd w:val="0"/>
              <w:snapToGrid w:val="0"/>
              <w:spacing w:line="360" w:lineRule="auto"/>
              <w:ind w:firstLine="480" w:firstLineChars="200"/>
              <w:rPr>
                <w:rFonts w:ascii="Times New Roman" w:hAnsi="Times New Roman" w:eastAsia="宋体" w:cs="Times New Roman"/>
                <w:b/>
                <w:bCs/>
                <w:sz w:val="24"/>
              </w:rPr>
            </w:pPr>
            <w:r>
              <w:rPr>
                <w:rFonts w:hint="eastAsia" w:ascii="宋体" w:hAnsi="宋体" w:eastAsia="宋体" w:cs="宋体"/>
                <w:sz w:val="24"/>
              </w:rPr>
              <w:t>根据预测结果可知，无组织排放废气</w:t>
            </w:r>
            <w:r>
              <w:rPr>
                <w:rFonts w:ascii="Times New Roman" w:hAnsi="Times New Roman" w:eastAsia="宋体" w:cs="Times New Roman"/>
                <w:sz w:val="24"/>
              </w:rPr>
              <w:t>TSP</w:t>
            </w:r>
            <w:r>
              <w:rPr>
                <w:rFonts w:hint="eastAsia" w:ascii="宋体" w:hAnsi="宋体" w:eastAsia="宋体" w:cs="宋体"/>
                <w:sz w:val="24"/>
              </w:rPr>
              <w:t>最大落地浓度出现</w:t>
            </w:r>
            <w:r>
              <w:rPr>
                <w:rFonts w:hint="eastAsia" w:ascii="宋体" w:hAnsi="宋体" w:cs="宋体"/>
                <w:sz w:val="24"/>
              </w:rPr>
              <w:t>159</w:t>
            </w:r>
            <w:r>
              <w:rPr>
                <w:rFonts w:hint="eastAsia" w:ascii="宋体" w:hAnsi="宋体" w:eastAsia="宋体" w:cs="宋体"/>
                <w:sz w:val="24"/>
              </w:rPr>
              <w:t>m处，</w:t>
            </w:r>
            <w:r>
              <w:rPr>
                <w:rFonts w:hint="eastAsia" w:ascii="宋体" w:hAnsi="宋体" w:eastAsia="宋体" w:cs="宋体"/>
                <w:sz w:val="24"/>
                <w:lang w:eastAsia="zh-CN"/>
              </w:rPr>
              <w:t>最大</w:t>
            </w:r>
            <w:r>
              <w:rPr>
                <w:rFonts w:hint="eastAsia" w:ascii="宋体" w:hAnsi="宋体" w:eastAsia="宋体" w:cs="宋体"/>
                <w:sz w:val="24"/>
              </w:rPr>
              <w:t>浓度</w:t>
            </w:r>
            <w:r>
              <w:rPr>
                <w:rFonts w:ascii="宋体" w:hAnsi="宋体" w:eastAsia="宋体"/>
                <w:sz w:val="24"/>
              </w:rPr>
              <w:t>269.0300</w:t>
            </w:r>
            <w:r>
              <w:rPr>
                <w:rFonts w:hint="eastAsia" w:ascii="宋体" w:hAnsi="宋体" w:eastAsia="宋体" w:cs="宋体"/>
                <w:sz w:val="24"/>
              </w:rPr>
              <w:t>μg/m</w:t>
            </w:r>
            <w:r>
              <w:rPr>
                <w:rFonts w:hint="eastAsia" w:ascii="宋体" w:hAnsi="宋体" w:eastAsia="宋体" w:cs="宋体"/>
                <w:sz w:val="24"/>
                <w:vertAlign w:val="superscript"/>
              </w:rPr>
              <w:t>3</w:t>
            </w:r>
            <w:r>
              <w:rPr>
                <w:rFonts w:hint="eastAsia" w:ascii="宋体" w:hAnsi="宋体" w:eastAsia="宋体" w:cs="宋体"/>
                <w:sz w:val="24"/>
              </w:rPr>
              <w:t>，最大占标率</w:t>
            </w:r>
            <w:r>
              <w:rPr>
                <w:rFonts w:ascii="宋体" w:hAnsi="宋体" w:eastAsia="宋体"/>
                <w:sz w:val="24"/>
              </w:rPr>
              <w:t>29.8922</w:t>
            </w:r>
            <w:r>
              <w:rPr>
                <w:rFonts w:hint="eastAsia" w:ascii="宋体" w:hAnsi="宋体" w:eastAsia="宋体" w:cs="宋体"/>
                <w:sz w:val="24"/>
              </w:rPr>
              <w:t>%。</w:t>
            </w:r>
            <w:r>
              <w:rPr>
                <w:rFonts w:ascii="Times New Roman" w:hAnsi="Times New Roman" w:eastAsia="宋体" w:cs="Times New Roman"/>
                <w:spacing w:val="10"/>
                <w:sz w:val="24"/>
              </w:rPr>
              <w:t>总悬浮颗粒物满足《环境空</w:t>
            </w:r>
            <w:r>
              <w:rPr>
                <w:rFonts w:ascii="Times New Roman" w:hAnsi="Times New Roman" w:eastAsia="宋体" w:cs="Times New Roman"/>
                <w:spacing w:val="6"/>
                <w:sz w:val="24"/>
              </w:rPr>
              <w:t>气质量标准》</w:t>
            </w:r>
            <w:r>
              <w:rPr>
                <w:rFonts w:hint="eastAsia" w:ascii="Times New Roman" w:hAnsi="Times New Roman" w:eastAsia="宋体" w:cs="Times New Roman"/>
                <w:spacing w:val="6"/>
                <w:sz w:val="24"/>
              </w:rPr>
              <w:t>（</w:t>
            </w:r>
            <w:r>
              <w:rPr>
                <w:rFonts w:ascii="Times New Roman" w:hAnsi="Times New Roman" w:eastAsia="宋体" w:cs="Times New Roman"/>
                <w:sz w:val="24"/>
              </w:rPr>
              <w:t>GB</w:t>
            </w:r>
            <w:r>
              <w:rPr>
                <w:rFonts w:ascii="Times New Roman" w:hAnsi="Times New Roman" w:eastAsia="宋体" w:cs="Times New Roman"/>
                <w:spacing w:val="6"/>
                <w:sz w:val="24"/>
              </w:rPr>
              <w:t>3095-</w:t>
            </w:r>
            <w:r>
              <w:rPr>
                <w:rFonts w:ascii="Times New Roman" w:hAnsi="Times New Roman" w:eastAsia="宋体" w:cs="Times New Roman"/>
                <w:spacing w:val="3"/>
                <w:sz w:val="24"/>
              </w:rPr>
              <w:t>2012</w:t>
            </w:r>
            <w:r>
              <w:rPr>
                <w:rFonts w:hint="eastAsia" w:ascii="Times New Roman" w:hAnsi="Times New Roman" w:eastAsia="宋体" w:cs="Times New Roman"/>
                <w:spacing w:val="3"/>
                <w:sz w:val="24"/>
              </w:rPr>
              <w:t>）</w:t>
            </w:r>
            <w:r>
              <w:rPr>
                <w:rFonts w:ascii="Times New Roman" w:hAnsi="Times New Roman" w:eastAsia="宋体" w:cs="Times New Roman"/>
                <w:spacing w:val="3"/>
                <w:sz w:val="24"/>
              </w:rPr>
              <w:t>及其修改单中的二级标准</w:t>
            </w:r>
            <w:r>
              <w:rPr>
                <w:rFonts w:hint="eastAsia" w:ascii="Times New Roman" w:hAnsi="Times New Roman" w:eastAsia="宋体" w:cs="Times New Roman"/>
                <w:spacing w:val="3"/>
                <w:sz w:val="24"/>
              </w:rPr>
              <w:t>。</w:t>
            </w:r>
          </w:p>
          <w:p>
            <w:pPr>
              <w:spacing w:before="60"/>
              <w:ind w:right="113" w:firstLine="422" w:firstLineChars="200"/>
              <w:jc w:val="center"/>
              <w:rPr>
                <w:rFonts w:ascii="Times New Roman" w:hAnsi="Times New Roman" w:eastAsia="宋体" w:cs="Times New Roman"/>
                <w:b/>
                <w:bCs/>
                <w:spacing w:val="10"/>
                <w:szCs w:val="21"/>
              </w:rPr>
            </w:pPr>
            <w:r>
              <w:rPr>
                <w:rFonts w:ascii="Times New Roman" w:hAnsi="Times New Roman" w:eastAsia="宋体" w:cs="Times New Roman"/>
                <w:b/>
                <w:bCs/>
                <w:szCs w:val="21"/>
              </w:rPr>
              <w:t>表</w:t>
            </w:r>
            <w:r>
              <w:rPr>
                <w:rFonts w:hint="eastAsia" w:ascii="Times New Roman" w:hAnsi="Times New Roman" w:eastAsia="宋体" w:cs="Times New Roman"/>
                <w:b/>
                <w:bCs/>
                <w:szCs w:val="21"/>
              </w:rPr>
              <w:t>4-9</w:t>
            </w:r>
            <w:r>
              <w:rPr>
                <w:rFonts w:ascii="Times New Roman" w:hAnsi="Times New Roman" w:eastAsia="宋体" w:cs="Times New Roman"/>
                <w:b/>
                <w:bCs/>
                <w:szCs w:val="21"/>
              </w:rPr>
              <w:t xml:space="preserve">   </w:t>
            </w:r>
            <w:r>
              <w:rPr>
                <w:rFonts w:hint="eastAsia" w:ascii="Times New Roman" w:hAnsi="Times New Roman" w:eastAsia="宋体" w:cs="Times New Roman"/>
                <w:b/>
                <w:bCs/>
                <w:szCs w:val="21"/>
              </w:rPr>
              <w:t>环境敏感点</w:t>
            </w:r>
            <w:r>
              <w:rPr>
                <w:rFonts w:ascii="Times New Roman" w:hAnsi="Times New Roman" w:eastAsia="宋体" w:cs="Times New Roman"/>
                <w:b/>
                <w:bCs/>
                <w:szCs w:val="21"/>
              </w:rPr>
              <w:t>预测结果</w:t>
            </w:r>
          </w:p>
          <w:tbl>
            <w:tblPr>
              <w:tblStyle w:val="29"/>
              <w:tblW w:w="6999"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48"/>
              <w:gridCol w:w="1328"/>
              <w:gridCol w:w="1462"/>
              <w:gridCol w:w="1222"/>
              <w:gridCol w:w="163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0" w:hRule="atLeast"/>
                <w:jc w:val="center"/>
              </w:trPr>
              <w:tc>
                <w:tcPr>
                  <w:tcW w:w="5360" w:type="dxa"/>
                  <w:gridSpan w:val="4"/>
                  <w:vAlign w:val="center"/>
                </w:tcPr>
                <w:p>
                  <w:pPr>
                    <w:jc w:val="center"/>
                    <w:rPr>
                      <w:b/>
                      <w:bCs/>
                      <w:szCs w:val="21"/>
                    </w:rPr>
                  </w:pPr>
                  <w:r>
                    <w:rPr>
                      <w:rFonts w:hint="eastAsia" w:ascii="宋体" w:hAnsi="宋体" w:eastAsia="宋体"/>
                      <w:b/>
                      <w:bCs/>
                      <w:szCs w:val="21"/>
                    </w:rPr>
                    <w:t>环境敏感点信息</w:t>
                  </w:r>
                </w:p>
              </w:tc>
              <w:tc>
                <w:tcPr>
                  <w:tcW w:w="1639" w:type="dxa"/>
                  <w:vAlign w:val="center"/>
                </w:tcPr>
                <w:p>
                  <w:pPr>
                    <w:jc w:val="center"/>
                    <w:rPr>
                      <w:b/>
                      <w:bCs/>
                      <w:szCs w:val="21"/>
                    </w:rPr>
                  </w:pPr>
                  <w:r>
                    <w:rPr>
                      <w:rFonts w:ascii="宋体" w:hAnsi="宋体" w:eastAsia="宋体"/>
                      <w:b/>
                      <w:bCs/>
                      <w:szCs w:val="21"/>
                    </w:rPr>
                    <w:t>矩形面源</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0" w:hRule="atLeast"/>
                <w:jc w:val="center"/>
              </w:trPr>
              <w:tc>
                <w:tcPr>
                  <w:tcW w:w="1348" w:type="dxa"/>
                  <w:vAlign w:val="center"/>
                </w:tcPr>
                <w:p>
                  <w:pPr>
                    <w:jc w:val="center"/>
                    <w:rPr>
                      <w:b/>
                      <w:bCs/>
                      <w:szCs w:val="21"/>
                    </w:rPr>
                  </w:pPr>
                  <w:r>
                    <w:rPr>
                      <w:rFonts w:hint="eastAsia" w:ascii="宋体" w:hAnsi="宋体" w:eastAsia="宋体"/>
                      <w:b/>
                      <w:bCs/>
                      <w:szCs w:val="21"/>
                    </w:rPr>
                    <w:t>环境敏感点</w:t>
                  </w:r>
                </w:p>
              </w:tc>
              <w:tc>
                <w:tcPr>
                  <w:tcW w:w="1328" w:type="dxa"/>
                  <w:vAlign w:val="center"/>
                </w:tcPr>
                <w:p>
                  <w:pPr>
                    <w:jc w:val="center"/>
                    <w:rPr>
                      <w:b/>
                      <w:bCs/>
                      <w:szCs w:val="21"/>
                    </w:rPr>
                  </w:pPr>
                  <w:r>
                    <w:rPr>
                      <w:rFonts w:ascii="宋体" w:hAnsi="宋体" w:eastAsia="宋体"/>
                      <w:b/>
                      <w:bCs/>
                      <w:szCs w:val="21"/>
                    </w:rPr>
                    <w:t>经度(度)</w:t>
                  </w:r>
                </w:p>
              </w:tc>
              <w:tc>
                <w:tcPr>
                  <w:tcW w:w="1462" w:type="dxa"/>
                  <w:vAlign w:val="center"/>
                </w:tcPr>
                <w:p>
                  <w:pPr>
                    <w:jc w:val="center"/>
                    <w:rPr>
                      <w:b/>
                      <w:bCs/>
                      <w:szCs w:val="21"/>
                    </w:rPr>
                  </w:pPr>
                  <w:r>
                    <w:rPr>
                      <w:rFonts w:ascii="宋体" w:hAnsi="宋体" w:eastAsia="宋体"/>
                      <w:b/>
                      <w:bCs/>
                      <w:szCs w:val="21"/>
                    </w:rPr>
                    <w:t>纬度(度)</w:t>
                  </w:r>
                </w:p>
              </w:tc>
              <w:tc>
                <w:tcPr>
                  <w:tcW w:w="1222" w:type="dxa"/>
                  <w:vAlign w:val="center"/>
                </w:tcPr>
                <w:p>
                  <w:pPr>
                    <w:jc w:val="center"/>
                    <w:rPr>
                      <w:b/>
                      <w:bCs/>
                      <w:szCs w:val="21"/>
                    </w:rPr>
                  </w:pPr>
                  <w:r>
                    <w:rPr>
                      <w:rFonts w:ascii="宋体" w:hAnsi="宋体" w:eastAsia="宋体"/>
                      <w:b/>
                      <w:bCs/>
                      <w:szCs w:val="21"/>
                    </w:rPr>
                    <w:t>海拔(m)</w:t>
                  </w:r>
                </w:p>
              </w:tc>
              <w:tc>
                <w:tcPr>
                  <w:tcW w:w="1639" w:type="dxa"/>
                  <w:vAlign w:val="center"/>
                </w:tcPr>
                <w:p>
                  <w:pPr>
                    <w:jc w:val="center"/>
                    <w:rPr>
                      <w:b/>
                      <w:bCs/>
                      <w:szCs w:val="21"/>
                    </w:rPr>
                  </w:pPr>
                  <w:r>
                    <w:rPr>
                      <w:rFonts w:ascii="宋体" w:hAnsi="宋体" w:eastAsia="宋体"/>
                      <w:b/>
                      <w:bCs/>
                      <w:szCs w:val="21"/>
                    </w:rPr>
                    <w:t>TSP(μg/m³)</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0" w:hRule="atLeast"/>
                <w:jc w:val="center"/>
              </w:trPr>
              <w:tc>
                <w:tcPr>
                  <w:tcW w:w="1348" w:type="dxa"/>
                  <w:vAlign w:val="center"/>
                </w:tcPr>
                <w:p>
                  <w:pPr>
                    <w:jc w:val="center"/>
                    <w:rPr>
                      <w:szCs w:val="21"/>
                    </w:rPr>
                  </w:pPr>
                  <w:r>
                    <w:rPr>
                      <w:rFonts w:ascii="宋体" w:hAnsi="宋体" w:eastAsia="宋体"/>
                      <w:szCs w:val="21"/>
                    </w:rPr>
                    <w:t>河湾村委会</w:t>
                  </w:r>
                </w:p>
              </w:tc>
              <w:tc>
                <w:tcPr>
                  <w:tcW w:w="1328" w:type="dxa"/>
                  <w:vAlign w:val="center"/>
                </w:tcPr>
                <w:p>
                  <w:pPr>
                    <w:jc w:val="center"/>
                    <w:rPr>
                      <w:szCs w:val="21"/>
                    </w:rPr>
                  </w:pPr>
                  <w:r>
                    <w:rPr>
                      <w:rFonts w:ascii="宋体" w:hAnsi="宋体" w:eastAsia="宋体"/>
                      <w:szCs w:val="21"/>
                    </w:rPr>
                    <w:t>100.098328</w:t>
                  </w:r>
                </w:p>
              </w:tc>
              <w:tc>
                <w:tcPr>
                  <w:tcW w:w="1462" w:type="dxa"/>
                  <w:vAlign w:val="center"/>
                </w:tcPr>
                <w:p>
                  <w:pPr>
                    <w:jc w:val="center"/>
                    <w:rPr>
                      <w:szCs w:val="21"/>
                    </w:rPr>
                  </w:pPr>
                  <w:r>
                    <w:rPr>
                      <w:rFonts w:ascii="宋体" w:hAnsi="宋体" w:eastAsia="宋体"/>
                      <w:szCs w:val="21"/>
                    </w:rPr>
                    <w:t>24.463547</w:t>
                  </w:r>
                </w:p>
              </w:tc>
              <w:tc>
                <w:tcPr>
                  <w:tcW w:w="1222" w:type="dxa"/>
                  <w:vAlign w:val="center"/>
                </w:tcPr>
                <w:p>
                  <w:pPr>
                    <w:jc w:val="center"/>
                    <w:rPr>
                      <w:szCs w:val="21"/>
                    </w:rPr>
                  </w:pPr>
                  <w:r>
                    <w:rPr>
                      <w:rFonts w:ascii="宋体" w:hAnsi="宋体" w:eastAsia="宋体"/>
                      <w:szCs w:val="21"/>
                    </w:rPr>
                    <w:t>1118.0</w:t>
                  </w:r>
                </w:p>
              </w:tc>
              <w:tc>
                <w:tcPr>
                  <w:tcW w:w="1639" w:type="dxa"/>
                  <w:vAlign w:val="center"/>
                </w:tcPr>
                <w:p>
                  <w:pPr>
                    <w:jc w:val="center"/>
                    <w:rPr>
                      <w:szCs w:val="21"/>
                    </w:rPr>
                  </w:pPr>
                  <w:r>
                    <w:rPr>
                      <w:rFonts w:ascii="宋体" w:hAnsi="宋体" w:eastAsia="宋体"/>
                      <w:szCs w:val="21"/>
                    </w:rPr>
                    <w:t>245.0400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0" w:hRule="atLeast"/>
                <w:jc w:val="center"/>
              </w:trPr>
              <w:tc>
                <w:tcPr>
                  <w:tcW w:w="1348" w:type="dxa"/>
                  <w:vAlign w:val="center"/>
                </w:tcPr>
                <w:p>
                  <w:pPr>
                    <w:jc w:val="center"/>
                    <w:rPr>
                      <w:szCs w:val="21"/>
                    </w:rPr>
                  </w:pPr>
                  <w:r>
                    <w:rPr>
                      <w:rFonts w:ascii="宋体" w:hAnsi="宋体" w:eastAsia="宋体"/>
                      <w:szCs w:val="21"/>
                    </w:rPr>
                    <w:t>下界碑</w:t>
                  </w:r>
                </w:p>
              </w:tc>
              <w:tc>
                <w:tcPr>
                  <w:tcW w:w="1328" w:type="dxa"/>
                  <w:vAlign w:val="center"/>
                </w:tcPr>
                <w:p>
                  <w:pPr>
                    <w:jc w:val="center"/>
                    <w:rPr>
                      <w:szCs w:val="21"/>
                    </w:rPr>
                  </w:pPr>
                  <w:r>
                    <w:rPr>
                      <w:rFonts w:ascii="宋体" w:hAnsi="宋体" w:eastAsia="宋体"/>
                      <w:szCs w:val="21"/>
                    </w:rPr>
                    <w:t>100.097073</w:t>
                  </w:r>
                </w:p>
              </w:tc>
              <w:tc>
                <w:tcPr>
                  <w:tcW w:w="1462" w:type="dxa"/>
                  <w:vAlign w:val="center"/>
                </w:tcPr>
                <w:p>
                  <w:pPr>
                    <w:jc w:val="center"/>
                    <w:rPr>
                      <w:szCs w:val="21"/>
                    </w:rPr>
                  </w:pPr>
                  <w:r>
                    <w:rPr>
                      <w:rFonts w:ascii="宋体" w:hAnsi="宋体" w:eastAsia="宋体"/>
                      <w:szCs w:val="21"/>
                    </w:rPr>
                    <w:t>24.468957</w:t>
                  </w:r>
                </w:p>
              </w:tc>
              <w:tc>
                <w:tcPr>
                  <w:tcW w:w="1222" w:type="dxa"/>
                  <w:vAlign w:val="center"/>
                </w:tcPr>
                <w:p>
                  <w:pPr>
                    <w:jc w:val="center"/>
                    <w:rPr>
                      <w:szCs w:val="21"/>
                    </w:rPr>
                  </w:pPr>
                  <w:r>
                    <w:rPr>
                      <w:rFonts w:ascii="宋体" w:hAnsi="宋体" w:eastAsia="宋体"/>
                      <w:szCs w:val="21"/>
                    </w:rPr>
                    <w:t>1134.0</w:t>
                  </w:r>
                </w:p>
              </w:tc>
              <w:tc>
                <w:tcPr>
                  <w:tcW w:w="1639" w:type="dxa"/>
                  <w:vAlign w:val="center"/>
                </w:tcPr>
                <w:p>
                  <w:pPr>
                    <w:jc w:val="center"/>
                    <w:rPr>
                      <w:szCs w:val="21"/>
                    </w:rPr>
                  </w:pPr>
                  <w:r>
                    <w:rPr>
                      <w:rFonts w:ascii="宋体" w:hAnsi="宋体" w:eastAsia="宋体"/>
                      <w:szCs w:val="21"/>
                    </w:rPr>
                    <w:t>195.1200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0" w:hRule="atLeast"/>
                <w:jc w:val="center"/>
              </w:trPr>
              <w:tc>
                <w:tcPr>
                  <w:tcW w:w="1348" w:type="dxa"/>
                  <w:vAlign w:val="center"/>
                </w:tcPr>
                <w:p>
                  <w:pPr>
                    <w:jc w:val="center"/>
                    <w:rPr>
                      <w:szCs w:val="21"/>
                    </w:rPr>
                  </w:pPr>
                  <w:r>
                    <w:rPr>
                      <w:rFonts w:ascii="宋体" w:hAnsi="宋体" w:eastAsia="宋体"/>
                      <w:szCs w:val="21"/>
                    </w:rPr>
                    <w:t>小村</w:t>
                  </w:r>
                </w:p>
              </w:tc>
              <w:tc>
                <w:tcPr>
                  <w:tcW w:w="1328" w:type="dxa"/>
                  <w:vAlign w:val="center"/>
                </w:tcPr>
                <w:p>
                  <w:pPr>
                    <w:jc w:val="center"/>
                    <w:rPr>
                      <w:szCs w:val="21"/>
                    </w:rPr>
                  </w:pPr>
                  <w:r>
                    <w:rPr>
                      <w:rFonts w:ascii="宋体" w:hAnsi="宋体" w:eastAsia="宋体"/>
                      <w:szCs w:val="21"/>
                    </w:rPr>
                    <w:t>100.101933</w:t>
                  </w:r>
                </w:p>
              </w:tc>
              <w:tc>
                <w:tcPr>
                  <w:tcW w:w="1462" w:type="dxa"/>
                  <w:vAlign w:val="center"/>
                </w:tcPr>
                <w:p>
                  <w:pPr>
                    <w:jc w:val="center"/>
                    <w:rPr>
                      <w:szCs w:val="21"/>
                    </w:rPr>
                  </w:pPr>
                  <w:r>
                    <w:rPr>
                      <w:rFonts w:ascii="宋体" w:hAnsi="宋体" w:eastAsia="宋体"/>
                      <w:szCs w:val="21"/>
                    </w:rPr>
                    <w:t>24.465188</w:t>
                  </w:r>
                </w:p>
              </w:tc>
              <w:tc>
                <w:tcPr>
                  <w:tcW w:w="1222" w:type="dxa"/>
                  <w:vAlign w:val="center"/>
                </w:tcPr>
                <w:p>
                  <w:pPr>
                    <w:jc w:val="center"/>
                    <w:rPr>
                      <w:szCs w:val="21"/>
                    </w:rPr>
                  </w:pPr>
                  <w:r>
                    <w:rPr>
                      <w:rFonts w:ascii="宋体" w:hAnsi="宋体" w:eastAsia="宋体"/>
                      <w:szCs w:val="21"/>
                    </w:rPr>
                    <w:t>1120.0</w:t>
                  </w:r>
                </w:p>
              </w:tc>
              <w:tc>
                <w:tcPr>
                  <w:tcW w:w="1639" w:type="dxa"/>
                  <w:vAlign w:val="center"/>
                </w:tcPr>
                <w:p>
                  <w:pPr>
                    <w:jc w:val="center"/>
                    <w:rPr>
                      <w:szCs w:val="21"/>
                    </w:rPr>
                  </w:pPr>
                  <w:r>
                    <w:rPr>
                      <w:rFonts w:ascii="宋体" w:hAnsi="宋体" w:eastAsia="宋体"/>
                      <w:szCs w:val="21"/>
                    </w:rPr>
                    <w:t>195.9500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0" w:hRule="atLeast"/>
                <w:jc w:val="center"/>
              </w:trPr>
              <w:tc>
                <w:tcPr>
                  <w:tcW w:w="1348" w:type="dxa"/>
                  <w:vAlign w:val="center"/>
                </w:tcPr>
                <w:p>
                  <w:pPr>
                    <w:jc w:val="center"/>
                    <w:rPr>
                      <w:szCs w:val="21"/>
                    </w:rPr>
                  </w:pPr>
                  <w:r>
                    <w:rPr>
                      <w:rFonts w:ascii="宋体" w:hAnsi="宋体" w:eastAsia="宋体"/>
                      <w:szCs w:val="21"/>
                    </w:rPr>
                    <w:t>上界碑</w:t>
                  </w:r>
                </w:p>
              </w:tc>
              <w:tc>
                <w:tcPr>
                  <w:tcW w:w="1328" w:type="dxa"/>
                  <w:vAlign w:val="center"/>
                </w:tcPr>
                <w:p>
                  <w:pPr>
                    <w:jc w:val="center"/>
                    <w:rPr>
                      <w:szCs w:val="21"/>
                    </w:rPr>
                  </w:pPr>
                  <w:r>
                    <w:rPr>
                      <w:rFonts w:ascii="宋体" w:hAnsi="宋体" w:eastAsia="宋体"/>
                      <w:szCs w:val="21"/>
                    </w:rPr>
                    <w:t>100.095195</w:t>
                  </w:r>
                </w:p>
              </w:tc>
              <w:tc>
                <w:tcPr>
                  <w:tcW w:w="1462" w:type="dxa"/>
                  <w:vAlign w:val="center"/>
                </w:tcPr>
                <w:p>
                  <w:pPr>
                    <w:jc w:val="center"/>
                    <w:rPr>
                      <w:szCs w:val="21"/>
                    </w:rPr>
                  </w:pPr>
                  <w:r>
                    <w:rPr>
                      <w:rFonts w:ascii="宋体" w:hAnsi="宋体" w:eastAsia="宋体"/>
                      <w:szCs w:val="21"/>
                    </w:rPr>
                    <w:t>24.46678</w:t>
                  </w:r>
                </w:p>
              </w:tc>
              <w:tc>
                <w:tcPr>
                  <w:tcW w:w="1222" w:type="dxa"/>
                  <w:vAlign w:val="center"/>
                </w:tcPr>
                <w:p>
                  <w:pPr>
                    <w:jc w:val="center"/>
                    <w:rPr>
                      <w:szCs w:val="21"/>
                    </w:rPr>
                  </w:pPr>
                  <w:r>
                    <w:rPr>
                      <w:rFonts w:ascii="宋体" w:hAnsi="宋体" w:eastAsia="宋体"/>
                      <w:szCs w:val="21"/>
                    </w:rPr>
                    <w:t>1180.0</w:t>
                  </w:r>
                </w:p>
              </w:tc>
              <w:tc>
                <w:tcPr>
                  <w:tcW w:w="1639" w:type="dxa"/>
                  <w:vAlign w:val="center"/>
                </w:tcPr>
                <w:p>
                  <w:pPr>
                    <w:jc w:val="center"/>
                    <w:rPr>
                      <w:szCs w:val="21"/>
                    </w:rPr>
                  </w:pPr>
                  <w:r>
                    <w:rPr>
                      <w:rFonts w:ascii="宋体" w:hAnsi="宋体" w:eastAsia="宋体"/>
                      <w:szCs w:val="21"/>
                    </w:rPr>
                    <w:t>211.2300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0" w:hRule="atLeast"/>
                <w:jc w:val="center"/>
              </w:trPr>
              <w:tc>
                <w:tcPr>
                  <w:tcW w:w="1348" w:type="dxa"/>
                  <w:vAlign w:val="center"/>
                </w:tcPr>
                <w:p>
                  <w:pPr>
                    <w:jc w:val="center"/>
                    <w:rPr>
                      <w:szCs w:val="21"/>
                    </w:rPr>
                  </w:pPr>
                  <w:r>
                    <w:rPr>
                      <w:rFonts w:ascii="宋体" w:hAnsi="宋体" w:eastAsia="宋体"/>
                      <w:szCs w:val="21"/>
                    </w:rPr>
                    <w:t>马家庄</w:t>
                  </w:r>
                </w:p>
              </w:tc>
              <w:tc>
                <w:tcPr>
                  <w:tcW w:w="1328" w:type="dxa"/>
                  <w:vAlign w:val="center"/>
                </w:tcPr>
                <w:p>
                  <w:pPr>
                    <w:jc w:val="center"/>
                    <w:rPr>
                      <w:szCs w:val="21"/>
                    </w:rPr>
                  </w:pPr>
                  <w:r>
                    <w:rPr>
                      <w:rFonts w:ascii="宋体" w:hAnsi="宋体" w:eastAsia="宋体"/>
                      <w:szCs w:val="21"/>
                    </w:rPr>
                    <w:t>100.096998</w:t>
                  </w:r>
                </w:p>
              </w:tc>
              <w:tc>
                <w:tcPr>
                  <w:tcW w:w="1462" w:type="dxa"/>
                  <w:vAlign w:val="center"/>
                </w:tcPr>
                <w:p>
                  <w:pPr>
                    <w:jc w:val="center"/>
                    <w:rPr>
                      <w:szCs w:val="21"/>
                    </w:rPr>
                  </w:pPr>
                  <w:r>
                    <w:rPr>
                      <w:rFonts w:ascii="宋体" w:hAnsi="宋体" w:eastAsia="宋体"/>
                      <w:szCs w:val="21"/>
                    </w:rPr>
                    <w:t>24.464866</w:t>
                  </w:r>
                </w:p>
              </w:tc>
              <w:tc>
                <w:tcPr>
                  <w:tcW w:w="1222" w:type="dxa"/>
                  <w:vAlign w:val="center"/>
                </w:tcPr>
                <w:p>
                  <w:pPr>
                    <w:jc w:val="center"/>
                    <w:rPr>
                      <w:szCs w:val="21"/>
                    </w:rPr>
                  </w:pPr>
                  <w:r>
                    <w:rPr>
                      <w:rFonts w:ascii="宋体" w:hAnsi="宋体" w:eastAsia="宋体"/>
                      <w:szCs w:val="21"/>
                    </w:rPr>
                    <w:t>1147.0</w:t>
                  </w:r>
                </w:p>
              </w:tc>
              <w:tc>
                <w:tcPr>
                  <w:tcW w:w="1639" w:type="dxa"/>
                  <w:vAlign w:val="center"/>
                </w:tcPr>
                <w:p>
                  <w:pPr>
                    <w:jc w:val="center"/>
                    <w:rPr>
                      <w:szCs w:val="21"/>
                    </w:rPr>
                  </w:pPr>
                  <w:r>
                    <w:rPr>
                      <w:rFonts w:ascii="宋体" w:hAnsi="宋体" w:eastAsia="宋体"/>
                      <w:szCs w:val="21"/>
                    </w:rPr>
                    <w:t>266.0200</w:t>
                  </w:r>
                </w:p>
              </w:tc>
            </w:tr>
          </w:tbl>
          <w:p>
            <w:pPr>
              <w:adjustRightInd w:val="0"/>
              <w:snapToGrid w:val="0"/>
              <w:spacing w:line="360" w:lineRule="auto"/>
              <w:ind w:firstLine="480" w:firstLineChars="200"/>
              <w:rPr>
                <w:rFonts w:ascii="Times New Roman" w:hAnsi="Times New Roman" w:eastAsia="宋体" w:cs="Times New Roman"/>
                <w:sz w:val="24"/>
              </w:rPr>
            </w:pPr>
          </w:p>
          <w:p>
            <w:pPr>
              <w:adjustRightInd w:val="0"/>
              <w:snapToGrid w:val="0"/>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根据预测结果，环境敏感点</w:t>
            </w:r>
            <w:r>
              <w:rPr>
                <w:rFonts w:ascii="Times New Roman" w:hAnsi="Times New Roman" w:eastAsia="宋体" w:cs="Times New Roman"/>
                <w:sz w:val="24"/>
              </w:rPr>
              <w:t>总悬浮颗粒物满足《环境空气质量标准》</w:t>
            </w:r>
            <w:r>
              <w:rPr>
                <w:rFonts w:hint="eastAsia" w:ascii="Times New Roman" w:hAnsi="Times New Roman" w:eastAsia="宋体" w:cs="Times New Roman"/>
                <w:sz w:val="24"/>
              </w:rPr>
              <w:t>（</w:t>
            </w:r>
            <w:r>
              <w:rPr>
                <w:rFonts w:ascii="Times New Roman" w:hAnsi="Times New Roman" w:eastAsia="宋体" w:cs="Times New Roman"/>
                <w:sz w:val="24"/>
              </w:rPr>
              <w:t>GB3095-2012</w:t>
            </w:r>
            <w:r>
              <w:rPr>
                <w:rFonts w:hint="eastAsia" w:ascii="Times New Roman" w:hAnsi="Times New Roman" w:eastAsia="宋体" w:cs="Times New Roman"/>
                <w:sz w:val="24"/>
              </w:rPr>
              <w:t>）</w:t>
            </w:r>
            <w:r>
              <w:rPr>
                <w:rFonts w:ascii="Times New Roman" w:hAnsi="Times New Roman" w:eastAsia="宋体" w:cs="Times New Roman"/>
                <w:sz w:val="24"/>
              </w:rPr>
              <w:t>及其修改单中的</w:t>
            </w:r>
            <w:r>
              <w:rPr>
                <w:rFonts w:hint="eastAsia" w:ascii="Times New Roman" w:hAnsi="Times New Roman" w:eastAsia="宋体" w:cs="Times New Roman"/>
                <w:sz w:val="24"/>
              </w:rPr>
              <w:t>无组织排放限值要求。项目运营期间对周围大气环境影响可接受，周围大气环境尚有一定的环境容量。</w:t>
            </w:r>
          </w:p>
          <w:p>
            <w:pPr>
              <w:adjustRightInd w:val="0"/>
              <w:snapToGrid w:val="0"/>
              <w:spacing w:line="360" w:lineRule="auto"/>
              <w:ind w:firstLine="482" w:firstLineChars="200"/>
              <w:rPr>
                <w:rFonts w:ascii="Times New Roman" w:hAnsi="Times New Roman" w:eastAsia="宋体" w:cs="Times New Roman"/>
                <w:b/>
                <w:bCs/>
                <w:sz w:val="24"/>
              </w:rPr>
            </w:pPr>
            <w:r>
              <w:rPr>
                <w:rFonts w:ascii="Times New Roman" w:hAnsi="Times New Roman" w:eastAsia="宋体" w:cs="Times New Roman"/>
                <w:b/>
                <w:bCs/>
                <w:sz w:val="24"/>
              </w:rPr>
              <w:t>二、运营期地表水环境影响和保护措施</w:t>
            </w:r>
          </w:p>
          <w:p>
            <w:pPr>
              <w:adjustRightInd w:val="0"/>
              <w:snapToGrid w:val="0"/>
              <w:spacing w:line="360" w:lineRule="auto"/>
              <w:ind w:firstLine="482" w:firstLineChars="200"/>
              <w:rPr>
                <w:rFonts w:ascii="Times New Roman" w:hAnsi="Times New Roman" w:eastAsia="宋体" w:cs="Times New Roman"/>
                <w:b/>
                <w:bCs/>
                <w:sz w:val="24"/>
              </w:rPr>
            </w:pPr>
            <w:r>
              <w:rPr>
                <w:rFonts w:ascii="Times New Roman" w:hAnsi="Times New Roman" w:eastAsia="宋体" w:cs="Times New Roman"/>
                <w:b/>
                <w:bCs/>
                <w:sz w:val="24"/>
              </w:rPr>
              <w:t>1、废水污染物产排情况</w:t>
            </w:r>
          </w:p>
          <w:p>
            <w:pPr>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根据前文水平衡分析可知，本项目运营期产生的废水主要为</w:t>
            </w:r>
            <w:r>
              <w:rPr>
                <w:rFonts w:hint="eastAsia" w:ascii="Times New Roman" w:hAnsi="Times New Roman" w:eastAsia="宋体" w:cs="Times New Roman"/>
                <w:sz w:val="24"/>
              </w:rPr>
              <w:t>生产废水及</w:t>
            </w:r>
            <w:r>
              <w:rPr>
                <w:rFonts w:ascii="Times New Roman" w:hAnsi="Times New Roman" w:eastAsia="宋体" w:cs="Times New Roman"/>
                <w:sz w:val="24"/>
              </w:rPr>
              <w:t>办公生活污水。</w:t>
            </w:r>
          </w:p>
          <w:p>
            <w:pPr>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项目实行雨污分流。雨水</w:t>
            </w:r>
            <w:r>
              <w:rPr>
                <w:rFonts w:hint="eastAsia" w:ascii="Times New Roman" w:hAnsi="Times New Roman" w:eastAsia="宋体" w:cs="Times New Roman"/>
                <w:sz w:val="24"/>
              </w:rPr>
              <w:t>经</w:t>
            </w:r>
            <w:r>
              <w:rPr>
                <w:rFonts w:ascii="Times New Roman" w:hAnsi="Times New Roman" w:eastAsia="宋体" w:cs="Times New Roman"/>
                <w:sz w:val="24"/>
              </w:rPr>
              <w:t>雨污分流系统进入初期雨水</w:t>
            </w:r>
            <w:r>
              <w:rPr>
                <w:rFonts w:hint="eastAsia" w:ascii="Times New Roman" w:hAnsi="Times New Roman" w:eastAsia="宋体" w:cs="Times New Roman"/>
                <w:sz w:val="24"/>
              </w:rPr>
              <w:t>收集池，前15分钟雨水回用于生产，其余雨水经雨水沟进入北桥河</w:t>
            </w:r>
            <w:r>
              <w:rPr>
                <w:rFonts w:ascii="Times New Roman" w:hAnsi="Times New Roman" w:eastAsia="宋体" w:cs="Times New Roman"/>
                <w:sz w:val="24"/>
              </w:rPr>
              <w:t>；</w:t>
            </w:r>
            <w:r>
              <w:rPr>
                <w:rFonts w:hint="eastAsia" w:ascii="Times New Roman" w:hAnsi="Times New Roman" w:eastAsia="宋体" w:cs="Times New Roman"/>
                <w:sz w:val="24"/>
              </w:rPr>
              <w:t>生产废水</w:t>
            </w:r>
            <w:r>
              <w:rPr>
                <w:rFonts w:ascii="Times New Roman" w:hAnsi="Times New Roman" w:eastAsia="宋体" w:cs="Times New Roman"/>
                <w:sz w:val="24"/>
              </w:rPr>
              <w:t>经</w:t>
            </w:r>
            <w:r>
              <w:rPr>
                <w:rFonts w:ascii="Times New Roman" w:hAnsi="Times New Roman" w:eastAsia="宋体" w:cs="Times New Roman"/>
                <w:sz w:val="24"/>
                <w:shd w:val="clear" w:color="auto" w:fill="FFFFFF"/>
              </w:rPr>
              <w:t>1个</w:t>
            </w:r>
            <w:r>
              <w:rPr>
                <w:rFonts w:hint="eastAsia" w:ascii="Times New Roman" w:hAnsi="Times New Roman" w:eastAsia="宋体" w:cs="Times New Roman"/>
                <w:sz w:val="24"/>
                <w:shd w:val="clear" w:color="auto" w:fill="FFFFFF"/>
              </w:rPr>
              <w:t>三级沉淀池</w:t>
            </w:r>
            <w:r>
              <w:rPr>
                <w:rFonts w:ascii="Times New Roman" w:hAnsi="Times New Roman" w:eastAsia="宋体" w:cs="Times New Roman"/>
                <w:sz w:val="24"/>
                <w:shd w:val="clear" w:color="auto" w:fill="FFFFFF"/>
              </w:rPr>
              <w:t>（</w:t>
            </w:r>
            <w:r>
              <w:rPr>
                <w:rFonts w:hint="eastAsia" w:ascii="Times New Roman" w:hAnsi="Times New Roman" w:eastAsia="宋体" w:cs="Times New Roman"/>
                <w:sz w:val="24"/>
                <w:shd w:val="clear" w:color="auto" w:fill="FFFFFF"/>
              </w:rPr>
              <w:t>总容积</w:t>
            </w:r>
            <w:r>
              <w:rPr>
                <w:rFonts w:ascii="Times New Roman" w:hAnsi="Times New Roman" w:eastAsia="宋体" w:cs="Times New Roman"/>
                <w:sz w:val="24"/>
                <w:shd w:val="clear" w:color="auto" w:fill="FFFFFF"/>
              </w:rPr>
              <w:t>为</w:t>
            </w:r>
            <w:r>
              <w:rPr>
                <w:rFonts w:hint="eastAsia" w:ascii="Times New Roman" w:hAnsi="Times New Roman" w:eastAsia="宋体" w:cs="Times New Roman"/>
                <w:sz w:val="24"/>
                <w:shd w:val="clear" w:color="auto" w:fill="FFFFFF"/>
              </w:rPr>
              <w:t>1500</w:t>
            </w:r>
            <w:r>
              <w:rPr>
                <w:rFonts w:ascii="Times New Roman" w:hAnsi="Times New Roman" w:eastAsia="宋体" w:cs="Times New Roman"/>
                <w:sz w:val="24"/>
                <w:shd w:val="clear" w:color="auto" w:fill="FFFFFF"/>
              </w:rPr>
              <w:t>m</w:t>
            </w:r>
            <w:r>
              <w:rPr>
                <w:rFonts w:ascii="Times New Roman" w:hAnsi="Times New Roman" w:eastAsia="宋体" w:cs="Times New Roman"/>
                <w:sz w:val="24"/>
                <w:shd w:val="clear" w:color="auto" w:fill="FFFFFF"/>
                <w:vertAlign w:val="superscript"/>
              </w:rPr>
              <w:t>3</w:t>
            </w:r>
            <w:r>
              <w:rPr>
                <w:rFonts w:hint="eastAsia" w:ascii="Times New Roman" w:hAnsi="Times New Roman" w:eastAsia="宋体" w:cs="Times New Roman"/>
                <w:sz w:val="24"/>
                <w:shd w:val="clear" w:color="auto" w:fill="FFFFFF"/>
              </w:rPr>
              <w:t>，1000</w:t>
            </w:r>
            <w:r>
              <w:rPr>
                <w:rFonts w:ascii="Times New Roman" w:hAnsi="Times New Roman" w:eastAsia="宋体" w:cs="Times New Roman"/>
                <w:sz w:val="24"/>
                <w:shd w:val="clear" w:color="auto" w:fill="FFFFFF"/>
              </w:rPr>
              <w:t>m</w:t>
            </w:r>
            <w:r>
              <w:rPr>
                <w:rFonts w:ascii="Times New Roman" w:hAnsi="Times New Roman" w:eastAsia="宋体" w:cs="Times New Roman"/>
                <w:sz w:val="24"/>
                <w:shd w:val="clear" w:color="auto" w:fill="FFFFFF"/>
                <w:vertAlign w:val="superscript"/>
              </w:rPr>
              <w:t>3</w:t>
            </w:r>
            <w:r>
              <w:rPr>
                <w:rFonts w:hint="eastAsia" w:ascii="Times New Roman" w:hAnsi="Times New Roman" w:eastAsia="宋体" w:cs="Times New Roman"/>
                <w:sz w:val="24"/>
                <w:shd w:val="clear" w:color="auto" w:fill="FFFFFF"/>
              </w:rPr>
              <w:t>+400</w:t>
            </w:r>
            <w:r>
              <w:rPr>
                <w:rFonts w:ascii="Times New Roman" w:hAnsi="Times New Roman" w:eastAsia="宋体" w:cs="Times New Roman"/>
                <w:sz w:val="24"/>
                <w:shd w:val="clear" w:color="auto" w:fill="FFFFFF"/>
              </w:rPr>
              <w:t>m</w:t>
            </w:r>
            <w:r>
              <w:rPr>
                <w:rFonts w:ascii="Times New Roman" w:hAnsi="Times New Roman" w:eastAsia="宋体" w:cs="Times New Roman"/>
                <w:sz w:val="24"/>
                <w:shd w:val="clear" w:color="auto" w:fill="FFFFFF"/>
                <w:vertAlign w:val="superscript"/>
              </w:rPr>
              <w:t>3</w:t>
            </w:r>
            <w:r>
              <w:rPr>
                <w:rFonts w:hint="eastAsia" w:ascii="Times New Roman" w:hAnsi="Times New Roman" w:eastAsia="宋体" w:cs="Times New Roman"/>
                <w:sz w:val="24"/>
                <w:shd w:val="clear" w:color="auto" w:fill="FFFFFF"/>
              </w:rPr>
              <w:t>+100</w:t>
            </w:r>
            <w:r>
              <w:rPr>
                <w:rFonts w:ascii="Times New Roman" w:hAnsi="Times New Roman" w:eastAsia="宋体" w:cs="Times New Roman"/>
                <w:sz w:val="24"/>
                <w:shd w:val="clear" w:color="auto" w:fill="FFFFFF"/>
              </w:rPr>
              <w:t>m</w:t>
            </w:r>
            <w:r>
              <w:rPr>
                <w:rFonts w:ascii="Times New Roman" w:hAnsi="Times New Roman" w:eastAsia="宋体" w:cs="Times New Roman"/>
                <w:sz w:val="24"/>
                <w:shd w:val="clear" w:color="auto" w:fill="FFFFFF"/>
                <w:vertAlign w:val="superscript"/>
              </w:rPr>
              <w:t>3</w:t>
            </w:r>
            <w:r>
              <w:rPr>
                <w:rFonts w:ascii="Times New Roman" w:hAnsi="Times New Roman" w:eastAsia="宋体" w:cs="Times New Roman"/>
                <w:sz w:val="24"/>
                <w:shd w:val="clear" w:color="auto" w:fill="FFFFFF"/>
              </w:rPr>
              <w:t>）</w:t>
            </w:r>
            <w:r>
              <w:rPr>
                <w:rFonts w:hint="eastAsia" w:ascii="Times New Roman" w:hAnsi="Times New Roman" w:eastAsia="宋体" w:cs="Times New Roman"/>
                <w:sz w:val="24"/>
                <w:shd w:val="clear" w:color="auto" w:fill="FFFFFF"/>
              </w:rPr>
              <w:t>沉淀</w:t>
            </w:r>
            <w:r>
              <w:rPr>
                <w:rFonts w:ascii="Times New Roman" w:hAnsi="Times New Roman" w:eastAsia="宋体" w:cs="Times New Roman"/>
                <w:sz w:val="24"/>
                <w:shd w:val="clear" w:color="auto" w:fill="FFFFFF"/>
              </w:rPr>
              <w:t>处理</w:t>
            </w:r>
            <w:r>
              <w:rPr>
                <w:rFonts w:hint="eastAsia" w:ascii="Times New Roman" w:hAnsi="Times New Roman" w:eastAsia="宋体" w:cs="Times New Roman"/>
                <w:sz w:val="24"/>
                <w:shd w:val="clear" w:color="auto" w:fill="FFFFFF"/>
              </w:rPr>
              <w:t>后</w:t>
            </w:r>
            <w:r>
              <w:rPr>
                <w:rFonts w:ascii="Times New Roman" w:hAnsi="Times New Roman" w:eastAsia="宋体" w:cs="Times New Roman"/>
                <w:sz w:val="24"/>
              </w:rPr>
              <w:t>循环使用，不外排</w:t>
            </w:r>
            <w:r>
              <w:rPr>
                <w:rFonts w:hint="eastAsia" w:ascii="Times New Roman" w:hAnsi="Times New Roman" w:eastAsia="宋体" w:cs="Times New Roman"/>
                <w:sz w:val="24"/>
              </w:rPr>
              <w:t>，为了保障回用水质满足生产需求，本次环评要求在最后100</w:t>
            </w:r>
            <w:r>
              <w:rPr>
                <w:rFonts w:ascii="Times New Roman" w:hAnsi="Times New Roman" w:eastAsia="宋体" w:cs="Times New Roman"/>
                <w:sz w:val="24"/>
                <w:shd w:val="clear" w:color="auto" w:fill="FFFFFF"/>
              </w:rPr>
              <w:t>m</w:t>
            </w:r>
            <w:r>
              <w:rPr>
                <w:rFonts w:ascii="Times New Roman" w:hAnsi="Times New Roman" w:eastAsia="宋体" w:cs="Times New Roman"/>
                <w:sz w:val="24"/>
                <w:shd w:val="clear" w:color="auto" w:fill="FFFFFF"/>
                <w:vertAlign w:val="superscript"/>
              </w:rPr>
              <w:t>3</w:t>
            </w:r>
            <w:r>
              <w:rPr>
                <w:rFonts w:hint="eastAsia" w:ascii="Times New Roman" w:hAnsi="Times New Roman" w:eastAsia="宋体" w:cs="Times New Roman"/>
                <w:sz w:val="24"/>
                <w:shd w:val="clear" w:color="auto" w:fill="FFFFFF"/>
              </w:rPr>
              <w:t>处设置加药系统，按水质情况，投加絮凝沉淀剂，缩短沉淀时间，保障废水经沉淀处理后满足生产需要</w:t>
            </w:r>
            <w:r>
              <w:rPr>
                <w:rFonts w:ascii="Times New Roman" w:hAnsi="Times New Roman" w:eastAsia="宋体" w:cs="Times New Roman"/>
                <w:sz w:val="24"/>
              </w:rPr>
              <w:t>；生活污水</w:t>
            </w:r>
            <w:r>
              <w:rPr>
                <w:rFonts w:hint="eastAsia" w:ascii="Times New Roman" w:hAnsi="Times New Roman" w:eastAsia="宋体" w:cs="Times New Roman"/>
                <w:sz w:val="24"/>
              </w:rPr>
              <w:t>经</w:t>
            </w:r>
            <w:r>
              <w:rPr>
                <w:rFonts w:ascii="Times New Roman" w:hAnsi="Times New Roman" w:eastAsia="宋体" w:cs="Times New Roman"/>
                <w:sz w:val="24"/>
              </w:rPr>
              <w:t>化粪池处理后，</w:t>
            </w:r>
            <w:r>
              <w:rPr>
                <w:rFonts w:hint="eastAsia" w:ascii="Times New Roman" w:cs="Times New Roman"/>
                <w:sz w:val="24"/>
              </w:rPr>
              <w:t>委托当地居民清掏用作农肥使用</w:t>
            </w:r>
            <w:r>
              <w:rPr>
                <w:rFonts w:ascii="Times New Roman" w:hAnsi="Times New Roman" w:eastAsia="宋体" w:cs="Times New Roman"/>
                <w:sz w:val="24"/>
              </w:rPr>
              <w:t>。</w:t>
            </w:r>
          </w:p>
          <w:p>
            <w:pPr>
              <w:pStyle w:val="36"/>
              <w:snapToGrid w:val="0"/>
              <w:spacing w:line="360" w:lineRule="auto"/>
              <w:ind w:firstLine="480" w:firstLineChars="200"/>
              <w:jc w:val="both"/>
              <w:rPr>
                <w:rFonts w:ascii="Times New Roman" w:cs="Times New Roman"/>
                <w:color w:val="auto"/>
              </w:rPr>
            </w:pPr>
            <w:r>
              <w:rPr>
                <w:rFonts w:hint="eastAsia" w:ascii="Times New Roman" w:cs="Times New Roman"/>
                <w:color w:val="auto"/>
                <w:kern w:val="0"/>
                <w:szCs w:val="20"/>
              </w:rPr>
              <w:t>为避免湿法降尘作业地表径流污染北桥河，本次环评要求堆场四周设置集污沟，并与三级沉淀池相连，保障湿法降尘作业地表径流进入三级沉淀池处理。其中污泥堆场及成品堆场渗滤液经收集池收集后，同洗沙废水一同</w:t>
            </w:r>
            <w:r>
              <w:rPr>
                <w:color w:val="auto"/>
                <w:spacing w:val="-3"/>
              </w:rPr>
              <w:t>进入沉淀系统经沉淀后上清液通过水</w:t>
            </w:r>
            <w:r>
              <w:rPr>
                <w:color w:val="auto"/>
                <w:spacing w:val="-4"/>
              </w:rPr>
              <w:t>泵抽至清水池回用于生产</w:t>
            </w:r>
            <w:r>
              <w:rPr>
                <w:color w:val="auto"/>
                <w:spacing w:val="-2"/>
              </w:rPr>
              <w:t>。</w:t>
            </w:r>
          </w:p>
          <w:p>
            <w:pPr>
              <w:pStyle w:val="36"/>
              <w:snapToGrid w:val="0"/>
              <w:spacing w:line="360" w:lineRule="auto"/>
              <w:ind w:firstLine="480" w:firstLineChars="200"/>
              <w:jc w:val="both"/>
              <w:rPr>
                <w:rFonts w:ascii="Times New Roman" w:cs="Times New Roman"/>
                <w:color w:val="auto"/>
              </w:rPr>
            </w:pPr>
            <w:r>
              <w:rPr>
                <w:rFonts w:ascii="Times New Roman" w:cs="Times New Roman"/>
                <w:color w:val="auto"/>
              </w:rPr>
              <w:t>项目废水排放情况详见表4-</w:t>
            </w:r>
            <w:r>
              <w:rPr>
                <w:rFonts w:hint="eastAsia" w:ascii="Times New Roman" w:cs="Times New Roman"/>
                <w:color w:val="auto"/>
              </w:rPr>
              <w:t>10</w:t>
            </w:r>
            <w:r>
              <w:rPr>
                <w:rFonts w:ascii="Times New Roman" w:cs="Times New Roman"/>
                <w:color w:val="auto"/>
              </w:rPr>
              <w:t>。</w:t>
            </w:r>
          </w:p>
          <w:p>
            <w:pPr>
              <w:pStyle w:val="11"/>
              <w:adjustRightInd w:val="0"/>
              <w:snapToGrid w:val="0"/>
              <w:jc w:val="center"/>
              <w:rPr>
                <w:rFonts w:ascii="Times New Roman" w:hAnsi="Times New Roman" w:eastAsia="宋体" w:cs="Times New Roman"/>
                <w:b/>
                <w:bCs/>
                <w:sz w:val="21"/>
                <w:szCs w:val="21"/>
              </w:rPr>
            </w:pPr>
            <w:r>
              <w:rPr>
                <w:rFonts w:ascii="Times New Roman" w:hAnsi="Times New Roman" w:eastAsia="宋体" w:cs="Times New Roman"/>
                <w:b/>
                <w:bCs/>
                <w:sz w:val="21"/>
                <w:szCs w:val="21"/>
              </w:rPr>
              <w:t>表4-</w:t>
            </w:r>
            <w:r>
              <w:rPr>
                <w:rFonts w:hint="eastAsia" w:ascii="Times New Roman" w:hAnsi="Times New Roman" w:eastAsia="宋体" w:cs="Times New Roman"/>
                <w:b/>
                <w:bCs/>
                <w:sz w:val="21"/>
                <w:szCs w:val="21"/>
              </w:rPr>
              <w:t>10</w:t>
            </w:r>
            <w:r>
              <w:rPr>
                <w:rFonts w:ascii="Times New Roman" w:hAnsi="Times New Roman" w:eastAsia="宋体" w:cs="Times New Roman"/>
                <w:b/>
                <w:bCs/>
                <w:sz w:val="21"/>
                <w:szCs w:val="21"/>
              </w:rPr>
              <w:t xml:space="preserve"> 项目用水及污水产生情况一览表</w:t>
            </w:r>
            <w:r>
              <w:rPr>
                <w:rFonts w:hint="eastAsia" w:ascii="Times New Roman" w:hAnsi="Times New Roman" w:eastAsia="宋体" w:cs="Times New Roman"/>
                <w:b/>
                <w:bCs/>
                <w:sz w:val="21"/>
                <w:szCs w:val="21"/>
              </w:rPr>
              <w:t xml:space="preserve">  单位m</w:t>
            </w:r>
            <w:r>
              <w:rPr>
                <w:rFonts w:hint="eastAsia" w:ascii="Times New Roman" w:hAnsi="Times New Roman" w:eastAsia="宋体" w:cs="Times New Roman"/>
                <w:b/>
                <w:bCs/>
                <w:sz w:val="21"/>
                <w:szCs w:val="21"/>
                <w:vertAlign w:val="superscript"/>
              </w:rPr>
              <w:t>3</w:t>
            </w:r>
            <w:r>
              <w:rPr>
                <w:rFonts w:hint="eastAsia" w:ascii="Times New Roman" w:hAnsi="Times New Roman" w:eastAsia="宋体" w:cs="Times New Roman"/>
                <w:b/>
                <w:bCs/>
                <w:sz w:val="21"/>
                <w:szCs w:val="21"/>
              </w:rPr>
              <w:t>/d</w:t>
            </w:r>
          </w:p>
          <w:tbl>
            <w:tblPr>
              <w:tblStyle w:val="29"/>
              <w:tblW w:w="7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1"/>
              <w:gridCol w:w="1595"/>
              <w:gridCol w:w="1149"/>
              <w:gridCol w:w="4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430" w:type="pct"/>
                  <w:vAlign w:val="center"/>
                </w:tcPr>
                <w:p>
                  <w:pPr>
                    <w:tabs>
                      <w:tab w:val="left" w:pos="3345"/>
                    </w:tabs>
                    <w:snapToGrid w:val="0"/>
                    <w:spacing w:line="340" w:lineRule="exact"/>
                    <w:jc w:val="center"/>
                    <w:rPr>
                      <w:b/>
                      <w:bCs/>
                      <w:iCs/>
                      <w:snapToGrid w:val="0"/>
                      <w:kern w:val="0"/>
                      <w:szCs w:val="18"/>
                    </w:rPr>
                  </w:pPr>
                  <w:r>
                    <w:rPr>
                      <w:b/>
                      <w:bCs/>
                      <w:iCs/>
                      <w:snapToGrid w:val="0"/>
                      <w:kern w:val="0"/>
                      <w:szCs w:val="18"/>
                    </w:rPr>
                    <w:t>序号</w:t>
                  </w:r>
                </w:p>
              </w:tc>
              <w:tc>
                <w:tcPr>
                  <w:tcW w:w="1055" w:type="pct"/>
                  <w:vAlign w:val="center"/>
                </w:tcPr>
                <w:p>
                  <w:pPr>
                    <w:tabs>
                      <w:tab w:val="left" w:pos="3345"/>
                    </w:tabs>
                    <w:snapToGrid w:val="0"/>
                    <w:spacing w:line="340" w:lineRule="exact"/>
                    <w:jc w:val="center"/>
                    <w:rPr>
                      <w:b/>
                      <w:bCs/>
                      <w:iCs/>
                      <w:snapToGrid w:val="0"/>
                      <w:kern w:val="0"/>
                      <w:szCs w:val="18"/>
                    </w:rPr>
                  </w:pPr>
                  <w:r>
                    <w:rPr>
                      <w:b/>
                      <w:bCs/>
                      <w:iCs/>
                      <w:snapToGrid w:val="0"/>
                      <w:kern w:val="0"/>
                      <w:szCs w:val="18"/>
                    </w:rPr>
                    <w:t>用水单元</w:t>
                  </w:r>
                </w:p>
              </w:tc>
              <w:tc>
                <w:tcPr>
                  <w:tcW w:w="760" w:type="pct"/>
                  <w:vAlign w:val="center"/>
                </w:tcPr>
                <w:p>
                  <w:pPr>
                    <w:tabs>
                      <w:tab w:val="left" w:pos="3345"/>
                    </w:tabs>
                    <w:snapToGrid w:val="0"/>
                    <w:spacing w:line="340" w:lineRule="exact"/>
                    <w:jc w:val="center"/>
                    <w:rPr>
                      <w:b/>
                      <w:bCs/>
                      <w:iCs/>
                      <w:snapToGrid w:val="0"/>
                      <w:kern w:val="0"/>
                      <w:szCs w:val="18"/>
                    </w:rPr>
                  </w:pPr>
                  <w:r>
                    <w:rPr>
                      <w:rFonts w:hint="eastAsia"/>
                      <w:b/>
                      <w:bCs/>
                      <w:iCs/>
                      <w:snapToGrid w:val="0"/>
                      <w:kern w:val="0"/>
                      <w:szCs w:val="18"/>
                    </w:rPr>
                    <w:t>废水</w:t>
                  </w:r>
                </w:p>
                <w:p>
                  <w:pPr>
                    <w:tabs>
                      <w:tab w:val="left" w:pos="3345"/>
                    </w:tabs>
                    <w:snapToGrid w:val="0"/>
                    <w:spacing w:line="340" w:lineRule="exact"/>
                    <w:jc w:val="center"/>
                    <w:rPr>
                      <w:b/>
                      <w:bCs/>
                      <w:iCs/>
                      <w:snapToGrid w:val="0"/>
                      <w:kern w:val="0"/>
                      <w:szCs w:val="18"/>
                    </w:rPr>
                  </w:pPr>
                  <w:r>
                    <w:rPr>
                      <w:rFonts w:hint="eastAsia"/>
                      <w:b/>
                      <w:bCs/>
                      <w:iCs/>
                      <w:snapToGrid w:val="0"/>
                      <w:kern w:val="0"/>
                      <w:szCs w:val="18"/>
                    </w:rPr>
                    <w:t>产生</w:t>
                  </w:r>
                  <w:r>
                    <w:rPr>
                      <w:b/>
                      <w:bCs/>
                      <w:iCs/>
                      <w:snapToGrid w:val="0"/>
                      <w:kern w:val="0"/>
                      <w:szCs w:val="18"/>
                    </w:rPr>
                    <w:t>量</w:t>
                  </w:r>
                </w:p>
              </w:tc>
              <w:tc>
                <w:tcPr>
                  <w:tcW w:w="2753" w:type="pct"/>
                  <w:vAlign w:val="center"/>
                </w:tcPr>
                <w:p>
                  <w:pPr>
                    <w:tabs>
                      <w:tab w:val="left" w:pos="3345"/>
                    </w:tabs>
                    <w:snapToGrid w:val="0"/>
                    <w:spacing w:line="340" w:lineRule="exact"/>
                    <w:jc w:val="center"/>
                    <w:rPr>
                      <w:b/>
                      <w:bCs/>
                      <w:iCs/>
                      <w:snapToGrid w:val="0"/>
                      <w:kern w:val="0"/>
                      <w:szCs w:val="18"/>
                    </w:rPr>
                  </w:pPr>
                  <w:r>
                    <w:rPr>
                      <w:rFonts w:hint="eastAsia"/>
                      <w:b/>
                      <w:bCs/>
                      <w:iCs/>
                      <w:snapToGrid w:val="0"/>
                      <w:kern w:val="0"/>
                      <w:szCs w:val="18"/>
                    </w:rPr>
                    <w:t>废水处置措施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430" w:type="pct"/>
                  <w:vAlign w:val="center"/>
                </w:tcPr>
                <w:p>
                  <w:pPr>
                    <w:tabs>
                      <w:tab w:val="left" w:pos="3345"/>
                    </w:tabs>
                    <w:snapToGrid w:val="0"/>
                    <w:spacing w:line="340" w:lineRule="exact"/>
                    <w:jc w:val="center"/>
                    <w:rPr>
                      <w:iCs/>
                      <w:snapToGrid w:val="0"/>
                      <w:kern w:val="0"/>
                      <w:szCs w:val="18"/>
                    </w:rPr>
                  </w:pPr>
                  <w:r>
                    <w:rPr>
                      <w:iCs/>
                      <w:snapToGrid w:val="0"/>
                      <w:kern w:val="0"/>
                      <w:szCs w:val="18"/>
                    </w:rPr>
                    <w:t>1</w:t>
                  </w:r>
                </w:p>
              </w:tc>
              <w:tc>
                <w:tcPr>
                  <w:tcW w:w="1055" w:type="pct"/>
                  <w:vAlign w:val="center"/>
                </w:tcPr>
                <w:p>
                  <w:pPr>
                    <w:tabs>
                      <w:tab w:val="left" w:pos="3345"/>
                    </w:tabs>
                    <w:snapToGrid w:val="0"/>
                    <w:spacing w:line="340" w:lineRule="exact"/>
                    <w:jc w:val="center"/>
                    <w:rPr>
                      <w:iCs/>
                      <w:snapToGrid w:val="0"/>
                      <w:kern w:val="0"/>
                      <w:szCs w:val="18"/>
                    </w:rPr>
                  </w:pPr>
                  <w:r>
                    <w:rPr>
                      <w:rFonts w:hint="eastAsia"/>
                      <w:iCs/>
                      <w:snapToGrid w:val="0"/>
                      <w:kern w:val="0"/>
                      <w:szCs w:val="18"/>
                    </w:rPr>
                    <w:t>生活用水</w:t>
                  </w:r>
                </w:p>
              </w:tc>
              <w:tc>
                <w:tcPr>
                  <w:tcW w:w="760" w:type="pct"/>
                  <w:vAlign w:val="center"/>
                </w:tcPr>
                <w:p>
                  <w:pPr>
                    <w:snapToGrid w:val="0"/>
                    <w:spacing w:line="340" w:lineRule="exact"/>
                    <w:jc w:val="center"/>
                    <w:rPr>
                      <w:iCs/>
                      <w:snapToGrid w:val="0"/>
                      <w:kern w:val="0"/>
                      <w:szCs w:val="18"/>
                    </w:rPr>
                  </w:pPr>
                  <w:r>
                    <w:rPr>
                      <w:rFonts w:hint="eastAsia"/>
                      <w:iCs/>
                      <w:snapToGrid w:val="0"/>
                      <w:kern w:val="0"/>
                      <w:szCs w:val="18"/>
                    </w:rPr>
                    <w:t>0.8</w:t>
                  </w:r>
                </w:p>
              </w:tc>
              <w:tc>
                <w:tcPr>
                  <w:tcW w:w="2753" w:type="pct"/>
                  <w:vAlign w:val="center"/>
                </w:tcPr>
                <w:p>
                  <w:pPr>
                    <w:snapToGrid w:val="0"/>
                    <w:spacing w:line="340" w:lineRule="exact"/>
                    <w:jc w:val="left"/>
                    <w:rPr>
                      <w:iCs/>
                      <w:snapToGrid w:val="0"/>
                      <w:kern w:val="0"/>
                      <w:szCs w:val="18"/>
                    </w:rPr>
                  </w:pPr>
                  <w:r>
                    <w:rPr>
                      <w:iCs/>
                      <w:snapToGrid w:val="0"/>
                      <w:kern w:val="0"/>
                      <w:szCs w:val="18"/>
                    </w:rPr>
                    <w:t>生活污水</w:t>
                  </w:r>
                  <w:r>
                    <w:rPr>
                      <w:rFonts w:hint="eastAsia"/>
                      <w:iCs/>
                      <w:snapToGrid w:val="0"/>
                      <w:kern w:val="0"/>
                      <w:szCs w:val="18"/>
                    </w:rPr>
                    <w:t>经</w:t>
                  </w:r>
                  <w:r>
                    <w:rPr>
                      <w:iCs/>
                      <w:snapToGrid w:val="0"/>
                      <w:kern w:val="0"/>
                      <w:szCs w:val="18"/>
                    </w:rPr>
                    <w:t>化粪池处理后，</w:t>
                  </w:r>
                  <w:r>
                    <w:rPr>
                      <w:rFonts w:hint="eastAsia"/>
                      <w:iCs/>
                      <w:snapToGrid w:val="0"/>
                      <w:kern w:val="0"/>
                      <w:szCs w:val="18"/>
                    </w:rPr>
                    <w:t>委托当地居民清掏用作农肥使用</w:t>
                  </w:r>
                  <w:r>
                    <w:rPr>
                      <w:iCs/>
                      <w:snapToGrid w:val="0"/>
                      <w:kern w:val="0"/>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430" w:type="pct"/>
                  <w:vAlign w:val="center"/>
                </w:tcPr>
                <w:p>
                  <w:pPr>
                    <w:tabs>
                      <w:tab w:val="left" w:pos="3345"/>
                    </w:tabs>
                    <w:snapToGrid w:val="0"/>
                    <w:spacing w:line="340" w:lineRule="exact"/>
                    <w:jc w:val="center"/>
                    <w:rPr>
                      <w:iCs/>
                      <w:snapToGrid w:val="0"/>
                      <w:kern w:val="0"/>
                      <w:szCs w:val="18"/>
                    </w:rPr>
                  </w:pPr>
                  <w:r>
                    <w:rPr>
                      <w:rFonts w:hint="eastAsia"/>
                      <w:iCs/>
                      <w:snapToGrid w:val="0"/>
                      <w:kern w:val="0"/>
                      <w:szCs w:val="18"/>
                    </w:rPr>
                    <w:t>2</w:t>
                  </w:r>
                </w:p>
              </w:tc>
              <w:tc>
                <w:tcPr>
                  <w:tcW w:w="1055" w:type="pct"/>
                  <w:vAlign w:val="center"/>
                </w:tcPr>
                <w:p>
                  <w:pPr>
                    <w:tabs>
                      <w:tab w:val="left" w:pos="3345"/>
                    </w:tabs>
                    <w:snapToGrid w:val="0"/>
                    <w:spacing w:line="340" w:lineRule="exact"/>
                    <w:jc w:val="center"/>
                    <w:rPr>
                      <w:iCs/>
                      <w:snapToGrid w:val="0"/>
                      <w:kern w:val="0"/>
                      <w:szCs w:val="18"/>
                    </w:rPr>
                  </w:pPr>
                  <w:r>
                    <w:rPr>
                      <w:rFonts w:hint="eastAsia"/>
                      <w:iCs/>
                      <w:snapToGrid w:val="0"/>
                      <w:kern w:val="0"/>
                      <w:szCs w:val="18"/>
                    </w:rPr>
                    <w:t>生产用水（含堆场渗滤液）</w:t>
                  </w:r>
                </w:p>
              </w:tc>
              <w:tc>
                <w:tcPr>
                  <w:tcW w:w="760" w:type="pct"/>
                  <w:vAlign w:val="center"/>
                </w:tcPr>
                <w:p>
                  <w:pPr>
                    <w:snapToGrid w:val="0"/>
                    <w:spacing w:line="340" w:lineRule="exact"/>
                    <w:jc w:val="center"/>
                    <w:rPr>
                      <w:iCs/>
                      <w:snapToGrid w:val="0"/>
                      <w:kern w:val="0"/>
                      <w:szCs w:val="18"/>
                    </w:rPr>
                  </w:pPr>
                  <w:r>
                    <w:rPr>
                      <w:rFonts w:hint="eastAsia"/>
                      <w:iCs/>
                      <w:snapToGrid w:val="0"/>
                      <w:kern w:val="0"/>
                      <w:szCs w:val="18"/>
                    </w:rPr>
                    <w:t>721.28</w:t>
                  </w:r>
                </w:p>
              </w:tc>
              <w:tc>
                <w:tcPr>
                  <w:tcW w:w="2753" w:type="pct"/>
                  <w:vAlign w:val="center"/>
                </w:tcPr>
                <w:p>
                  <w:pPr>
                    <w:snapToGrid w:val="0"/>
                    <w:spacing w:line="340" w:lineRule="exact"/>
                    <w:jc w:val="left"/>
                    <w:rPr>
                      <w:iCs/>
                      <w:snapToGrid w:val="0"/>
                      <w:kern w:val="0"/>
                      <w:szCs w:val="18"/>
                    </w:rPr>
                  </w:pPr>
                  <w:r>
                    <w:rPr>
                      <w:rFonts w:hint="eastAsia"/>
                      <w:iCs/>
                      <w:snapToGrid w:val="0"/>
                      <w:kern w:val="0"/>
                      <w:szCs w:val="18"/>
                    </w:rPr>
                    <w:t>其中污泥堆场及成品堆场渗滤液经收集池收集后，同洗沙废水一同进入沉淀系统经沉淀后</w:t>
                  </w:r>
                  <w:r>
                    <w:rPr>
                      <w:rFonts w:hint="eastAsia"/>
                      <w:iCs/>
                      <w:snapToGrid w:val="0"/>
                      <w:kern w:val="0"/>
                      <w:szCs w:val="21"/>
                    </w:rPr>
                    <w:t>上清液通过水泵抽至清水池回用于生产。</w:t>
                  </w:r>
                  <w:r>
                    <w:rPr>
                      <w:rFonts w:hint="eastAsia" w:ascii="Times New Roman" w:hAnsi="Times New Roman" w:eastAsia="宋体" w:cs="Times New Roman"/>
                      <w:szCs w:val="21"/>
                    </w:rPr>
                    <w:t>本次环评要求在最后100</w:t>
                  </w:r>
                  <w:r>
                    <w:rPr>
                      <w:rFonts w:ascii="Times New Roman" w:hAnsi="Times New Roman" w:eastAsia="宋体" w:cs="Times New Roman"/>
                      <w:szCs w:val="21"/>
                      <w:shd w:val="clear" w:color="auto" w:fill="FFFFFF"/>
                    </w:rPr>
                    <w:t>m</w:t>
                  </w:r>
                  <w:r>
                    <w:rPr>
                      <w:rFonts w:ascii="Times New Roman" w:hAnsi="Times New Roman" w:eastAsia="宋体" w:cs="Times New Roman"/>
                      <w:szCs w:val="21"/>
                      <w:shd w:val="clear" w:color="auto" w:fill="FFFFFF"/>
                      <w:vertAlign w:val="superscript"/>
                    </w:rPr>
                    <w:t>3</w:t>
                  </w:r>
                  <w:r>
                    <w:rPr>
                      <w:rFonts w:hint="eastAsia" w:ascii="Times New Roman" w:hAnsi="Times New Roman" w:eastAsia="宋体" w:cs="Times New Roman"/>
                      <w:szCs w:val="21"/>
                      <w:shd w:val="clear" w:color="auto" w:fill="FFFFFF"/>
                    </w:rPr>
                    <w:t>处设置加药系统，按水质情况，投加絮凝沉淀剂，缩短沉淀时间，保障废水经沉淀处理后满足生产需要。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430" w:type="pct"/>
                  <w:vAlign w:val="center"/>
                </w:tcPr>
                <w:p>
                  <w:pPr>
                    <w:tabs>
                      <w:tab w:val="left" w:pos="3345"/>
                    </w:tabs>
                    <w:snapToGrid w:val="0"/>
                    <w:spacing w:line="340" w:lineRule="exact"/>
                    <w:jc w:val="center"/>
                    <w:rPr>
                      <w:iCs/>
                      <w:snapToGrid w:val="0"/>
                      <w:kern w:val="0"/>
                      <w:szCs w:val="18"/>
                    </w:rPr>
                  </w:pPr>
                  <w:r>
                    <w:rPr>
                      <w:rFonts w:hint="eastAsia"/>
                      <w:iCs/>
                      <w:snapToGrid w:val="0"/>
                      <w:kern w:val="0"/>
                      <w:szCs w:val="18"/>
                    </w:rPr>
                    <w:t>3</w:t>
                  </w:r>
                </w:p>
              </w:tc>
              <w:tc>
                <w:tcPr>
                  <w:tcW w:w="1055" w:type="pct"/>
                  <w:vAlign w:val="center"/>
                </w:tcPr>
                <w:p>
                  <w:pPr>
                    <w:tabs>
                      <w:tab w:val="left" w:pos="3345"/>
                    </w:tabs>
                    <w:snapToGrid w:val="0"/>
                    <w:spacing w:line="340" w:lineRule="exact"/>
                    <w:jc w:val="center"/>
                    <w:rPr>
                      <w:iCs/>
                      <w:snapToGrid w:val="0"/>
                      <w:kern w:val="0"/>
                      <w:szCs w:val="18"/>
                    </w:rPr>
                  </w:pPr>
                  <w:r>
                    <w:rPr>
                      <w:rFonts w:hint="eastAsia"/>
                      <w:iCs/>
                      <w:snapToGrid w:val="0"/>
                      <w:kern w:val="0"/>
                      <w:szCs w:val="18"/>
                    </w:rPr>
                    <w:t>车辆清洗用水</w:t>
                  </w:r>
                </w:p>
              </w:tc>
              <w:tc>
                <w:tcPr>
                  <w:tcW w:w="760" w:type="pct"/>
                  <w:vAlign w:val="center"/>
                </w:tcPr>
                <w:p>
                  <w:pPr>
                    <w:tabs>
                      <w:tab w:val="left" w:pos="3345"/>
                    </w:tabs>
                    <w:snapToGrid w:val="0"/>
                    <w:spacing w:line="340" w:lineRule="exact"/>
                    <w:jc w:val="center"/>
                    <w:rPr>
                      <w:iCs/>
                      <w:snapToGrid w:val="0"/>
                      <w:kern w:val="0"/>
                      <w:szCs w:val="18"/>
                    </w:rPr>
                  </w:pPr>
                  <w:r>
                    <w:rPr>
                      <w:rFonts w:hint="eastAsia"/>
                      <w:iCs/>
                      <w:snapToGrid w:val="0"/>
                      <w:kern w:val="0"/>
                      <w:szCs w:val="18"/>
                    </w:rPr>
                    <w:t>6.4</w:t>
                  </w:r>
                </w:p>
              </w:tc>
              <w:tc>
                <w:tcPr>
                  <w:tcW w:w="2753" w:type="pct"/>
                  <w:vAlign w:val="center"/>
                </w:tcPr>
                <w:p>
                  <w:pPr>
                    <w:tabs>
                      <w:tab w:val="left" w:pos="3345"/>
                    </w:tabs>
                    <w:snapToGrid w:val="0"/>
                    <w:spacing w:line="340" w:lineRule="exact"/>
                    <w:jc w:val="left"/>
                    <w:rPr>
                      <w:iCs/>
                      <w:snapToGrid w:val="0"/>
                      <w:kern w:val="0"/>
                      <w:szCs w:val="18"/>
                    </w:rPr>
                  </w:pPr>
                  <w:r>
                    <w:rPr>
                      <w:spacing w:val="-1"/>
                    </w:rPr>
                    <w:t>全部进入洗车废水沉淀池沉淀后回用于</w:t>
                  </w:r>
                  <w:r>
                    <w:rPr>
                      <w:rFonts w:hint="eastAsia"/>
                      <w:spacing w:val="-1"/>
                    </w:rPr>
                    <w:t>洒水降尘</w:t>
                  </w:r>
                  <w:r>
                    <w:rPr>
                      <w:spacing w:val="-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430" w:type="pct"/>
                  <w:vAlign w:val="center"/>
                </w:tcPr>
                <w:p>
                  <w:pPr>
                    <w:tabs>
                      <w:tab w:val="left" w:pos="3345"/>
                    </w:tabs>
                    <w:snapToGrid w:val="0"/>
                    <w:spacing w:line="340" w:lineRule="exact"/>
                    <w:jc w:val="center"/>
                    <w:rPr>
                      <w:iCs/>
                      <w:snapToGrid w:val="0"/>
                      <w:kern w:val="0"/>
                      <w:szCs w:val="18"/>
                    </w:rPr>
                  </w:pPr>
                  <w:r>
                    <w:rPr>
                      <w:rFonts w:hint="eastAsia"/>
                      <w:iCs/>
                      <w:snapToGrid w:val="0"/>
                      <w:kern w:val="0"/>
                      <w:szCs w:val="18"/>
                    </w:rPr>
                    <w:t>4</w:t>
                  </w:r>
                </w:p>
              </w:tc>
              <w:tc>
                <w:tcPr>
                  <w:tcW w:w="1055" w:type="pct"/>
                  <w:vAlign w:val="center"/>
                </w:tcPr>
                <w:p>
                  <w:pPr>
                    <w:tabs>
                      <w:tab w:val="left" w:pos="3345"/>
                    </w:tabs>
                    <w:snapToGrid w:val="0"/>
                    <w:spacing w:line="340" w:lineRule="exact"/>
                    <w:jc w:val="center"/>
                    <w:rPr>
                      <w:iCs/>
                      <w:snapToGrid w:val="0"/>
                      <w:kern w:val="0"/>
                      <w:szCs w:val="18"/>
                    </w:rPr>
                  </w:pPr>
                  <w:r>
                    <w:rPr>
                      <w:rFonts w:hint="eastAsia"/>
                      <w:iCs/>
                      <w:snapToGrid w:val="0"/>
                      <w:kern w:val="0"/>
                      <w:szCs w:val="18"/>
                    </w:rPr>
                    <w:t>初期雨水</w:t>
                  </w:r>
                </w:p>
                <w:p>
                  <w:pPr>
                    <w:tabs>
                      <w:tab w:val="left" w:pos="3345"/>
                    </w:tabs>
                    <w:snapToGrid w:val="0"/>
                    <w:spacing w:line="340" w:lineRule="exact"/>
                    <w:jc w:val="center"/>
                    <w:rPr>
                      <w:iCs/>
                      <w:snapToGrid w:val="0"/>
                      <w:kern w:val="0"/>
                      <w:szCs w:val="18"/>
                    </w:rPr>
                  </w:pPr>
                  <w:r>
                    <w:rPr>
                      <w:rFonts w:hint="eastAsia"/>
                      <w:iCs/>
                      <w:snapToGrid w:val="0"/>
                      <w:kern w:val="0"/>
                      <w:szCs w:val="18"/>
                    </w:rPr>
                    <w:t>（产生量/次）</w:t>
                  </w:r>
                </w:p>
              </w:tc>
              <w:tc>
                <w:tcPr>
                  <w:tcW w:w="760" w:type="pct"/>
                  <w:vAlign w:val="center"/>
                </w:tcPr>
                <w:p>
                  <w:pPr>
                    <w:tabs>
                      <w:tab w:val="left" w:pos="3345"/>
                    </w:tabs>
                    <w:snapToGrid w:val="0"/>
                    <w:spacing w:line="340" w:lineRule="exact"/>
                    <w:jc w:val="center"/>
                    <w:rPr>
                      <w:iCs/>
                      <w:snapToGrid w:val="0"/>
                      <w:kern w:val="0"/>
                      <w:szCs w:val="18"/>
                    </w:rPr>
                  </w:pPr>
                  <w:r>
                    <w:rPr>
                      <w:rFonts w:hint="eastAsia"/>
                      <w:iCs/>
                      <w:snapToGrid w:val="0"/>
                      <w:kern w:val="0"/>
                      <w:szCs w:val="18"/>
                    </w:rPr>
                    <w:t>77.93</w:t>
                  </w:r>
                </w:p>
              </w:tc>
              <w:tc>
                <w:tcPr>
                  <w:tcW w:w="2753" w:type="pct"/>
                  <w:vAlign w:val="center"/>
                </w:tcPr>
                <w:p>
                  <w:pPr>
                    <w:tabs>
                      <w:tab w:val="left" w:pos="3345"/>
                    </w:tabs>
                    <w:snapToGrid w:val="0"/>
                    <w:spacing w:line="340" w:lineRule="exact"/>
                    <w:jc w:val="left"/>
                    <w:rPr>
                      <w:iCs/>
                      <w:snapToGrid w:val="0"/>
                      <w:kern w:val="0"/>
                      <w:szCs w:val="18"/>
                    </w:rPr>
                  </w:pPr>
                  <w:r>
                    <w:rPr>
                      <w:spacing w:val="-7"/>
                    </w:rPr>
                    <w:t>初期雨水沉淀后作为生产用水回用</w:t>
                  </w:r>
                  <w:r>
                    <w:rPr>
                      <w:spacing w:val="-8"/>
                    </w:rPr>
                    <w:t>于生产、不外排</w:t>
                  </w:r>
                  <w:r>
                    <w:rPr>
                      <w:spacing w:val="-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485" w:type="pct"/>
                  <w:gridSpan w:val="2"/>
                  <w:vAlign w:val="center"/>
                </w:tcPr>
                <w:p>
                  <w:pPr>
                    <w:tabs>
                      <w:tab w:val="left" w:pos="3345"/>
                    </w:tabs>
                    <w:snapToGrid w:val="0"/>
                    <w:spacing w:line="340" w:lineRule="exact"/>
                    <w:jc w:val="center"/>
                    <w:rPr>
                      <w:iCs/>
                      <w:snapToGrid w:val="0"/>
                      <w:kern w:val="0"/>
                      <w:szCs w:val="18"/>
                    </w:rPr>
                  </w:pPr>
                  <w:r>
                    <w:rPr>
                      <w:iCs/>
                      <w:snapToGrid w:val="0"/>
                      <w:kern w:val="0"/>
                      <w:szCs w:val="18"/>
                    </w:rPr>
                    <w:t>合计</w:t>
                  </w:r>
                </w:p>
              </w:tc>
              <w:tc>
                <w:tcPr>
                  <w:tcW w:w="760" w:type="pct"/>
                  <w:vAlign w:val="center"/>
                </w:tcPr>
                <w:p>
                  <w:pPr>
                    <w:widowControl/>
                    <w:jc w:val="center"/>
                    <w:textAlignment w:val="center"/>
                    <w:rPr>
                      <w:iCs/>
                      <w:snapToGrid w:val="0"/>
                      <w:kern w:val="0"/>
                      <w:szCs w:val="18"/>
                    </w:rPr>
                  </w:pPr>
                  <w:r>
                    <w:rPr>
                      <w:rFonts w:hint="eastAsia"/>
                      <w:iCs/>
                      <w:snapToGrid w:val="0"/>
                      <w:kern w:val="0"/>
                      <w:szCs w:val="18"/>
                    </w:rPr>
                    <w:t>732.33</w:t>
                  </w:r>
                </w:p>
              </w:tc>
              <w:tc>
                <w:tcPr>
                  <w:tcW w:w="2753" w:type="pct"/>
                  <w:vAlign w:val="center"/>
                </w:tcPr>
                <w:p>
                  <w:pPr>
                    <w:widowControl/>
                    <w:jc w:val="center"/>
                    <w:textAlignment w:val="center"/>
                    <w:rPr>
                      <w:iCs/>
                      <w:snapToGrid w:val="0"/>
                      <w:kern w:val="0"/>
                      <w:szCs w:val="18"/>
                    </w:rPr>
                  </w:pPr>
                  <w:r>
                    <w:rPr>
                      <w:rFonts w:hint="eastAsia"/>
                      <w:iCs/>
                      <w:snapToGrid w:val="0"/>
                      <w:kern w:val="0"/>
                      <w:szCs w:val="18"/>
                    </w:rPr>
                    <w:t>/</w:t>
                  </w:r>
                </w:p>
              </w:tc>
            </w:tr>
          </w:tbl>
          <w:p>
            <w:pPr>
              <w:spacing w:line="360" w:lineRule="auto"/>
              <w:ind w:firstLine="602" w:firstLineChars="250"/>
              <w:rPr>
                <w:rFonts w:ascii="Times New Roman" w:hAnsi="Times New Roman" w:eastAsia="宋体" w:cs="Times New Roman"/>
                <w:b/>
                <w:bCs/>
                <w:sz w:val="24"/>
              </w:rPr>
            </w:pPr>
          </w:p>
          <w:p>
            <w:pPr>
              <w:adjustRightInd w:val="0"/>
              <w:snapToGrid w:val="0"/>
              <w:spacing w:line="360" w:lineRule="auto"/>
              <w:ind w:firstLine="482" w:firstLineChars="200"/>
              <w:rPr>
                <w:rFonts w:ascii="Times New Roman" w:hAnsi="Times New Roman" w:eastAsia="宋体" w:cs="Times New Roman"/>
                <w:b/>
                <w:sz w:val="24"/>
              </w:rPr>
            </w:pPr>
            <w:r>
              <w:rPr>
                <w:rFonts w:ascii="Times New Roman" w:hAnsi="Times New Roman" w:eastAsia="宋体" w:cs="Times New Roman"/>
                <w:b/>
                <w:bCs/>
                <w:sz w:val="24"/>
              </w:rPr>
              <w:t>2、</w:t>
            </w:r>
            <w:r>
              <w:rPr>
                <w:rFonts w:ascii="Times New Roman" w:hAnsi="Times New Roman" w:eastAsia="宋体" w:cs="Times New Roman"/>
                <w:b/>
                <w:sz w:val="24"/>
              </w:rPr>
              <w:t>项目废水污染物防治措施与可行性分析</w:t>
            </w:r>
          </w:p>
          <w:p>
            <w:pPr>
              <w:pStyle w:val="7"/>
              <w:adjustRightInd w:val="0"/>
              <w:snapToGrid w:val="0"/>
              <w:spacing w:line="360" w:lineRule="auto"/>
              <w:ind w:firstLine="482" w:firstLineChars="200"/>
              <w:rPr>
                <w:rFonts w:ascii="Times New Roman" w:hAnsi="Times New Roman" w:eastAsia="宋体" w:cs="Times New Roman"/>
                <w:b/>
                <w:shd w:val="clear" w:color="auto" w:fill="FFFFFF"/>
              </w:rPr>
            </w:pPr>
            <w:r>
              <w:rPr>
                <w:rFonts w:ascii="Times New Roman" w:hAnsi="Times New Roman" w:eastAsia="宋体" w:cs="Times New Roman"/>
                <w:b/>
                <w:shd w:val="clear" w:color="auto" w:fill="FFFFFF"/>
              </w:rPr>
              <w:t>（1）</w:t>
            </w:r>
            <w:r>
              <w:rPr>
                <w:rFonts w:ascii="Times New Roman" w:hAnsi="Times New Roman" w:eastAsia="宋体" w:cs="Times New Roman"/>
                <w:b/>
              </w:rPr>
              <w:t>废水处理可行性分析</w:t>
            </w:r>
          </w:p>
          <w:p>
            <w:pPr>
              <w:pStyle w:val="7"/>
              <w:adjustRightInd w:val="0"/>
              <w:snapToGrid w:val="0"/>
              <w:spacing w:line="360" w:lineRule="auto"/>
              <w:ind w:firstLine="480" w:firstLineChars="200"/>
              <w:rPr>
                <w:rFonts w:ascii="Times New Roman" w:hAnsi="Times New Roman" w:eastAsia="宋体" w:cs="Times New Roman"/>
                <w:bCs/>
                <w:shd w:val="clear" w:color="auto" w:fill="FFFFFF"/>
              </w:rPr>
            </w:pPr>
            <w:r>
              <w:rPr>
                <w:rFonts w:ascii="Times New Roman" w:hAnsi="Times New Roman" w:eastAsia="宋体"/>
                <w:lang w:val="zh-CN"/>
              </w:rPr>
              <w:t>根据《第</w:t>
            </w:r>
            <w:r>
              <w:rPr>
                <w:rFonts w:hint="eastAsia" w:ascii="Times New Roman" w:hAnsi="Times New Roman" w:eastAsia="宋体"/>
              </w:rPr>
              <w:t>二</w:t>
            </w:r>
            <w:r>
              <w:rPr>
                <w:rFonts w:ascii="Times New Roman" w:hAnsi="Times New Roman" w:eastAsia="宋体"/>
                <w:lang w:val="zh-CN"/>
              </w:rPr>
              <w:t>次全国污染源普查工业污染源产排污系数手册》</w:t>
            </w:r>
            <w:r>
              <w:rPr>
                <w:rFonts w:hint="eastAsia" w:ascii="Times New Roman" w:hAnsi="Times New Roman" w:eastAsia="宋体"/>
              </w:rPr>
              <w:t>中“3039 其他建筑材料制造行业”，</w:t>
            </w:r>
            <w:r>
              <w:rPr>
                <w:rFonts w:hint="eastAsia" w:ascii="Times New Roman" w:hAnsi="Times New Roman" w:eastAsia="宋体" w:cs="Times New Roman"/>
                <w:spacing w:val="7"/>
              </w:rPr>
              <w:t>生产废水末端治理技术为“沉淀分离+循环利用”，本项目采用沉淀池沉淀处理后回用生产，本次环评要求在最后100m</w:t>
            </w:r>
            <w:r>
              <w:rPr>
                <w:rFonts w:hint="eastAsia" w:ascii="Times New Roman" w:hAnsi="Times New Roman" w:eastAsia="宋体" w:cs="Times New Roman"/>
                <w:spacing w:val="7"/>
                <w:vertAlign w:val="superscript"/>
              </w:rPr>
              <w:t>3</w:t>
            </w:r>
            <w:r>
              <w:rPr>
                <w:rFonts w:hint="eastAsia" w:ascii="Times New Roman" w:hAnsi="Times New Roman" w:eastAsia="宋体" w:cs="Times New Roman"/>
                <w:spacing w:val="7"/>
              </w:rPr>
              <w:t>处设置加药系统，按水质情况，投加絮凝沉淀剂，缩短沉淀时间，保障废水经沉淀处理后满足生产需要，属于可行技术；</w:t>
            </w:r>
            <w:r>
              <w:rPr>
                <w:rFonts w:ascii="Times New Roman" w:hAnsi="Times New Roman" w:eastAsia="宋体" w:cs="Times New Roman"/>
                <w:spacing w:val="7"/>
              </w:rPr>
              <w:t>生活污水</w:t>
            </w:r>
            <w:r>
              <w:rPr>
                <w:rFonts w:hint="eastAsia" w:ascii="Times New Roman" w:hAnsi="Times New Roman" w:eastAsia="宋体" w:cs="Times New Roman"/>
                <w:spacing w:val="7"/>
              </w:rPr>
              <w:t>经</w:t>
            </w:r>
            <w:r>
              <w:rPr>
                <w:rFonts w:ascii="Times New Roman" w:hAnsi="Times New Roman" w:eastAsia="宋体" w:cs="Times New Roman"/>
                <w:spacing w:val="7"/>
              </w:rPr>
              <w:t>化粪池</w:t>
            </w:r>
            <w:r>
              <w:rPr>
                <w:rFonts w:hint="eastAsia" w:ascii="Times New Roman" w:hAnsi="Times New Roman" w:eastAsia="宋体" w:cs="Times New Roman"/>
                <w:spacing w:val="7"/>
              </w:rPr>
              <w:t>处理后，委托当地居民清掏用作农肥使用，对地表水环境影响较小</w:t>
            </w:r>
            <w:r>
              <w:rPr>
                <w:rFonts w:ascii="Times New Roman" w:hAnsi="Times New Roman" w:eastAsia="宋体" w:cs="Times New Roman"/>
              </w:rPr>
              <w:t>。</w:t>
            </w:r>
          </w:p>
          <w:p>
            <w:pPr>
              <w:pStyle w:val="7"/>
              <w:adjustRightInd w:val="0"/>
              <w:snapToGrid w:val="0"/>
              <w:spacing w:line="360" w:lineRule="auto"/>
              <w:ind w:firstLine="482" w:firstLineChars="200"/>
              <w:rPr>
                <w:rFonts w:ascii="Times New Roman" w:hAnsi="Times New Roman" w:eastAsia="宋体" w:cs="Times New Roman"/>
                <w:b/>
                <w:shd w:val="clear" w:color="auto" w:fill="FFFFFF"/>
              </w:rPr>
            </w:pPr>
            <w:r>
              <w:rPr>
                <w:rFonts w:ascii="Times New Roman" w:hAnsi="Times New Roman" w:eastAsia="宋体" w:cs="Times New Roman"/>
                <w:b/>
                <w:shd w:val="clear" w:color="auto" w:fill="FFFFFF"/>
              </w:rPr>
              <w:t>（2）</w:t>
            </w:r>
            <w:r>
              <w:rPr>
                <w:rFonts w:ascii="Times New Roman" w:hAnsi="Times New Roman" w:eastAsia="宋体" w:cs="Times New Roman"/>
                <w:b/>
              </w:rPr>
              <w:t>废水处理设施合理性分析</w:t>
            </w:r>
          </w:p>
          <w:p>
            <w:pPr>
              <w:pStyle w:val="7"/>
              <w:adjustRightInd w:val="0"/>
              <w:snapToGrid w:val="0"/>
              <w:spacing w:line="360" w:lineRule="auto"/>
              <w:ind w:firstLine="482" w:firstLineChars="200"/>
              <w:rPr>
                <w:rFonts w:ascii="Times New Roman" w:hAnsi="Times New Roman" w:eastAsia="宋体" w:cs="Times New Roman"/>
              </w:rPr>
            </w:pPr>
            <w:r>
              <w:rPr>
                <w:rFonts w:hint="eastAsia" w:ascii="Times New Roman" w:hAnsi="Times New Roman" w:eastAsia="宋体" w:cs="Times New Roman"/>
                <w:b/>
                <w:shd w:val="clear" w:color="auto" w:fill="FFFFFF"/>
              </w:rPr>
              <w:t>三级沉淀池、成品堆放场渗滤液收集池、污泥堆放场渗滤液收集池</w:t>
            </w:r>
            <w:r>
              <w:rPr>
                <w:rFonts w:ascii="Times New Roman" w:hAnsi="Times New Roman" w:eastAsia="宋体" w:cs="Times New Roman"/>
                <w:b/>
                <w:shd w:val="clear" w:color="auto" w:fill="FFFFFF"/>
              </w:rPr>
              <w:t>：</w:t>
            </w:r>
            <w:r>
              <w:rPr>
                <w:rFonts w:ascii="Times New Roman" w:hAnsi="Times New Roman" w:eastAsia="宋体" w:cs="Times New Roman"/>
                <w:shd w:val="clear" w:color="auto" w:fill="FFFFFF"/>
              </w:rPr>
              <w:t>项目拟设1个</w:t>
            </w:r>
            <w:r>
              <w:rPr>
                <w:rFonts w:hint="eastAsia" w:ascii="Times New Roman" w:hAnsi="Times New Roman" w:eastAsia="宋体" w:cs="Times New Roman"/>
                <w:shd w:val="clear" w:color="auto" w:fill="FFFFFF"/>
              </w:rPr>
              <w:t>三级沉淀池</w:t>
            </w:r>
            <w:r>
              <w:rPr>
                <w:rFonts w:ascii="Times New Roman" w:hAnsi="Times New Roman" w:eastAsia="宋体" w:cs="Times New Roman"/>
                <w:shd w:val="clear" w:color="auto" w:fill="FFFFFF"/>
              </w:rPr>
              <w:t>处理</w:t>
            </w:r>
            <w:r>
              <w:rPr>
                <w:rFonts w:hint="eastAsia" w:ascii="Times New Roman" w:hAnsi="Times New Roman" w:eastAsia="宋体" w:cs="Times New Roman"/>
                <w:shd w:val="clear" w:color="auto" w:fill="FFFFFF"/>
              </w:rPr>
              <w:t>生产废</w:t>
            </w:r>
            <w:r>
              <w:rPr>
                <w:rFonts w:ascii="Times New Roman" w:hAnsi="Times New Roman" w:eastAsia="宋体" w:cs="Times New Roman"/>
                <w:shd w:val="clear" w:color="auto" w:fill="FFFFFF"/>
              </w:rPr>
              <w:t>水，</w:t>
            </w:r>
            <w:r>
              <w:rPr>
                <w:rFonts w:hint="eastAsia" w:ascii="Times New Roman" w:hAnsi="Times New Roman" w:eastAsia="宋体" w:cs="Times New Roman"/>
                <w:shd w:val="clear" w:color="auto" w:fill="FFFFFF"/>
              </w:rPr>
              <w:t>本项目生产废水产生量为721.28m</w:t>
            </w:r>
            <w:r>
              <w:rPr>
                <w:rFonts w:hint="eastAsia" w:ascii="Times New Roman" w:hAnsi="Times New Roman" w:eastAsia="宋体" w:cs="Times New Roman"/>
                <w:shd w:val="clear" w:color="auto" w:fill="FFFFFF"/>
                <w:vertAlign w:val="superscript"/>
              </w:rPr>
              <w:t>3</w:t>
            </w:r>
            <w:r>
              <w:rPr>
                <w:rFonts w:hint="eastAsia" w:ascii="Times New Roman" w:hAnsi="Times New Roman" w:eastAsia="宋体" w:cs="Times New Roman"/>
                <w:shd w:val="clear" w:color="auto" w:fill="FFFFFF"/>
              </w:rPr>
              <w:t>/d</w:t>
            </w:r>
            <w:r>
              <w:rPr>
                <w:rFonts w:ascii="Times New Roman" w:hAnsi="Times New Roman" w:eastAsia="宋体" w:cs="Times New Roman"/>
              </w:rPr>
              <w:t>，</w:t>
            </w:r>
            <w:r>
              <w:rPr>
                <w:rFonts w:hint="eastAsia" w:ascii="Times New Roman" w:hAnsi="Times New Roman" w:eastAsia="宋体" w:cs="Times New Roman"/>
              </w:rPr>
              <w:t>本项目三级沉淀设置</w:t>
            </w:r>
            <w:r>
              <w:rPr>
                <w:rFonts w:ascii="Times New Roman" w:hAnsi="Times New Roman" w:eastAsia="宋体" w:cs="Times New Roman"/>
                <w:shd w:val="clear" w:color="auto" w:fill="FFFFFF"/>
              </w:rPr>
              <w:t>（</w:t>
            </w:r>
            <w:r>
              <w:rPr>
                <w:rFonts w:hint="eastAsia" w:ascii="Times New Roman" w:hAnsi="Times New Roman" w:eastAsia="宋体" w:cs="Times New Roman"/>
                <w:shd w:val="clear" w:color="auto" w:fill="FFFFFF"/>
              </w:rPr>
              <w:t>总容积</w:t>
            </w:r>
            <w:r>
              <w:rPr>
                <w:rFonts w:ascii="Times New Roman" w:hAnsi="Times New Roman" w:eastAsia="宋体" w:cs="Times New Roman"/>
                <w:shd w:val="clear" w:color="auto" w:fill="FFFFFF"/>
              </w:rPr>
              <w:t>为</w:t>
            </w:r>
            <w:r>
              <w:rPr>
                <w:rFonts w:hint="eastAsia" w:ascii="Times New Roman" w:hAnsi="Times New Roman" w:eastAsia="宋体" w:cs="Times New Roman"/>
                <w:shd w:val="clear" w:color="auto" w:fill="FFFFFF"/>
              </w:rPr>
              <w:t>1500</w:t>
            </w:r>
            <w:r>
              <w:rPr>
                <w:rFonts w:ascii="Times New Roman" w:hAnsi="Times New Roman" w:eastAsia="宋体" w:cs="Times New Roman"/>
                <w:shd w:val="clear" w:color="auto" w:fill="FFFFFF"/>
              </w:rPr>
              <w:t>m</w:t>
            </w:r>
            <w:r>
              <w:rPr>
                <w:rFonts w:ascii="Times New Roman" w:hAnsi="Times New Roman" w:eastAsia="宋体" w:cs="Times New Roman"/>
                <w:shd w:val="clear" w:color="auto" w:fill="FFFFFF"/>
                <w:vertAlign w:val="superscript"/>
              </w:rPr>
              <w:t>3</w:t>
            </w:r>
            <w:r>
              <w:rPr>
                <w:rFonts w:hint="eastAsia" w:ascii="Times New Roman" w:hAnsi="Times New Roman" w:eastAsia="宋体" w:cs="Times New Roman"/>
                <w:shd w:val="clear" w:color="auto" w:fill="FFFFFF"/>
              </w:rPr>
              <w:t>，1000</w:t>
            </w:r>
            <w:r>
              <w:rPr>
                <w:rFonts w:ascii="Times New Roman" w:hAnsi="Times New Roman" w:eastAsia="宋体" w:cs="Times New Roman"/>
                <w:shd w:val="clear" w:color="auto" w:fill="FFFFFF"/>
              </w:rPr>
              <w:t>m</w:t>
            </w:r>
            <w:r>
              <w:rPr>
                <w:rFonts w:ascii="Times New Roman" w:hAnsi="Times New Roman" w:eastAsia="宋体" w:cs="Times New Roman"/>
                <w:shd w:val="clear" w:color="auto" w:fill="FFFFFF"/>
                <w:vertAlign w:val="superscript"/>
              </w:rPr>
              <w:t>3</w:t>
            </w:r>
            <w:r>
              <w:rPr>
                <w:rFonts w:hint="eastAsia" w:ascii="Times New Roman" w:hAnsi="Times New Roman" w:eastAsia="宋体" w:cs="Times New Roman"/>
                <w:shd w:val="clear" w:color="auto" w:fill="FFFFFF"/>
              </w:rPr>
              <w:t>+400</w:t>
            </w:r>
            <w:r>
              <w:rPr>
                <w:rFonts w:ascii="Times New Roman" w:hAnsi="Times New Roman" w:eastAsia="宋体" w:cs="Times New Roman"/>
                <w:shd w:val="clear" w:color="auto" w:fill="FFFFFF"/>
              </w:rPr>
              <w:t>m</w:t>
            </w:r>
            <w:r>
              <w:rPr>
                <w:rFonts w:ascii="Times New Roman" w:hAnsi="Times New Roman" w:eastAsia="宋体" w:cs="Times New Roman"/>
                <w:shd w:val="clear" w:color="auto" w:fill="FFFFFF"/>
                <w:vertAlign w:val="superscript"/>
              </w:rPr>
              <w:t>3</w:t>
            </w:r>
            <w:r>
              <w:rPr>
                <w:rFonts w:hint="eastAsia" w:ascii="Times New Roman" w:hAnsi="Times New Roman" w:eastAsia="宋体" w:cs="Times New Roman"/>
                <w:shd w:val="clear" w:color="auto" w:fill="FFFFFF"/>
              </w:rPr>
              <w:t>+100</w:t>
            </w:r>
            <w:r>
              <w:rPr>
                <w:rFonts w:ascii="Times New Roman" w:hAnsi="Times New Roman" w:eastAsia="宋体" w:cs="Times New Roman"/>
                <w:shd w:val="clear" w:color="auto" w:fill="FFFFFF"/>
              </w:rPr>
              <w:t>m</w:t>
            </w:r>
            <w:r>
              <w:rPr>
                <w:rFonts w:ascii="Times New Roman" w:hAnsi="Times New Roman" w:eastAsia="宋体" w:cs="Times New Roman"/>
                <w:shd w:val="clear" w:color="auto" w:fill="FFFFFF"/>
                <w:vertAlign w:val="superscript"/>
              </w:rPr>
              <w:t>3</w:t>
            </w:r>
            <w:r>
              <w:rPr>
                <w:rFonts w:ascii="Times New Roman" w:hAnsi="Times New Roman" w:eastAsia="宋体" w:cs="Times New Roman"/>
                <w:shd w:val="clear" w:color="auto" w:fill="FFFFFF"/>
              </w:rPr>
              <w:t>）</w:t>
            </w:r>
            <w:r>
              <w:rPr>
                <w:rFonts w:hint="eastAsia" w:ascii="Times New Roman" w:hAnsi="Times New Roman" w:eastAsia="宋体" w:cs="Times New Roman"/>
              </w:rPr>
              <w:t>，设置</w:t>
            </w:r>
            <w:r>
              <w:rPr>
                <w:rFonts w:ascii="Times New Roman" w:hAnsi="Times New Roman" w:eastAsia="宋体" w:cs="Times New Roman"/>
                <w:shd w:val="clear" w:color="auto" w:fill="FFFFFF"/>
              </w:rPr>
              <w:t>容积大小可满足</w:t>
            </w:r>
            <w:r>
              <w:rPr>
                <w:rFonts w:hint="eastAsia" w:ascii="Times New Roman" w:hAnsi="Times New Roman" w:eastAsia="宋体" w:cs="Times New Roman"/>
                <w:shd w:val="clear" w:color="auto" w:fill="FFFFFF"/>
              </w:rPr>
              <w:t>生产废水停留约2天时间，满足生产需要，设置合理。同时考虑在成品堆放场、污泥堆放场会产生少量渗滤液，故在堆场旁设置收集池，收集池容积均为10m</w:t>
            </w:r>
            <w:r>
              <w:rPr>
                <w:rFonts w:hint="eastAsia" w:ascii="Times New Roman" w:hAnsi="Times New Roman" w:eastAsia="宋体" w:cs="Times New Roman"/>
                <w:shd w:val="clear" w:color="auto" w:fill="FFFFFF"/>
                <w:vertAlign w:val="superscript"/>
              </w:rPr>
              <w:t>3</w:t>
            </w:r>
            <w:r>
              <w:rPr>
                <w:rFonts w:hint="eastAsia" w:ascii="Times New Roman" w:hAnsi="Times New Roman" w:eastAsia="宋体" w:cs="Times New Roman"/>
                <w:shd w:val="clear" w:color="auto" w:fill="FFFFFF"/>
              </w:rPr>
              <w:t>，收集池通过管道与三级沉淀池相连，废水进入三级沉淀池处理后回用于生产，收集池设计满足生产需要，设置合理</w:t>
            </w:r>
            <w:r>
              <w:rPr>
                <w:rFonts w:ascii="Times New Roman" w:hAnsi="Times New Roman" w:eastAsia="宋体" w:cs="Times New Roman"/>
                <w:shd w:val="clear" w:color="auto" w:fill="FFFFFF"/>
              </w:rPr>
              <w:t>。</w:t>
            </w:r>
          </w:p>
          <w:p>
            <w:pPr>
              <w:adjustRightInd w:val="0"/>
              <w:snapToGrid w:val="0"/>
              <w:spacing w:line="360" w:lineRule="auto"/>
              <w:ind w:firstLine="482" w:firstLineChars="200"/>
              <w:rPr>
                <w:rFonts w:ascii="Times New Roman" w:hAnsi="Times New Roman" w:eastAsia="宋体" w:cs="Times New Roman"/>
                <w:b/>
                <w:bCs/>
                <w:sz w:val="24"/>
                <w:shd w:val="clear" w:color="auto" w:fill="FFFFFF"/>
              </w:rPr>
            </w:pPr>
            <w:r>
              <w:rPr>
                <w:rFonts w:ascii="Times New Roman" w:hAnsi="Times New Roman" w:eastAsia="宋体" w:cs="Times New Roman"/>
                <w:b/>
                <w:bCs/>
                <w:sz w:val="24"/>
              </w:rPr>
              <w:t>化粪池：</w:t>
            </w:r>
            <w:r>
              <w:rPr>
                <w:rFonts w:ascii="Times New Roman" w:hAnsi="Times New Roman" w:eastAsia="宋体" w:cs="Times New Roman"/>
                <w:sz w:val="24"/>
              </w:rPr>
              <w:t>办公</w:t>
            </w:r>
            <w:r>
              <w:rPr>
                <w:rFonts w:hint="eastAsia" w:ascii="Times New Roman" w:hAnsi="Times New Roman" w:eastAsia="宋体" w:cs="Times New Roman"/>
                <w:sz w:val="24"/>
              </w:rPr>
              <w:t>生活污水</w:t>
            </w:r>
            <w:r>
              <w:rPr>
                <w:rFonts w:ascii="Times New Roman" w:hAnsi="Times New Roman" w:eastAsia="宋体" w:cs="Times New Roman"/>
                <w:kern w:val="0"/>
                <w:sz w:val="24"/>
                <w:lang w:bidi="ar"/>
              </w:rPr>
              <w:t>产生量为</w:t>
            </w:r>
            <w:r>
              <w:rPr>
                <w:rFonts w:hint="eastAsia" w:ascii="Times New Roman" w:hAnsi="Times New Roman" w:eastAsia="宋体" w:cs="Times New Roman"/>
                <w:sz w:val="24"/>
              </w:rPr>
              <w:t>0.8</w:t>
            </w:r>
            <w:r>
              <w:rPr>
                <w:rFonts w:ascii="Times New Roman" w:hAnsi="Times New Roman" w:eastAsia="宋体" w:cs="Times New Roman"/>
                <w:sz w:val="24"/>
              </w:rPr>
              <w:t>m</w:t>
            </w:r>
            <w:r>
              <w:rPr>
                <w:rFonts w:ascii="Times New Roman" w:hAnsi="Times New Roman" w:eastAsia="宋体" w:cs="Times New Roman"/>
                <w:sz w:val="24"/>
                <w:vertAlign w:val="superscript"/>
              </w:rPr>
              <w:t>3</w:t>
            </w:r>
            <w:r>
              <w:rPr>
                <w:rFonts w:ascii="Times New Roman" w:hAnsi="Times New Roman" w:eastAsia="宋体" w:cs="Times New Roman"/>
                <w:sz w:val="24"/>
              </w:rPr>
              <w:t>/d</w:t>
            </w:r>
            <w:r>
              <w:rPr>
                <w:rFonts w:ascii="Times New Roman" w:hAnsi="Times New Roman" w:eastAsia="宋体" w:cs="Times New Roman"/>
                <w:spacing w:val="11"/>
                <w:sz w:val="24"/>
              </w:rPr>
              <w:t>，废水经化粪池（</w:t>
            </w:r>
            <w:r>
              <w:rPr>
                <w:rFonts w:ascii="Times New Roman" w:hAnsi="Times New Roman" w:eastAsia="宋体" w:cs="Times New Roman"/>
                <w:sz w:val="24"/>
              </w:rPr>
              <w:t>根据设计要求，化粪池容积不小于外排废水量的1.2倍，且</w:t>
            </w:r>
            <w:r>
              <w:rPr>
                <w:rFonts w:ascii="Times New Roman" w:hAnsi="Times New Roman" w:eastAsia="宋体" w:cs="Times New Roman"/>
                <w:spacing w:val="11"/>
                <w:sz w:val="24"/>
              </w:rPr>
              <w:t>需满足废水在化粪池中至少停留24小时的要求）处理后，</w:t>
            </w:r>
            <w:r>
              <w:rPr>
                <w:rFonts w:ascii="Times New Roman" w:hAnsi="Times New Roman" w:eastAsia="宋体" w:cs="Times New Roman"/>
                <w:sz w:val="24"/>
              </w:rPr>
              <w:t>本项目</w:t>
            </w:r>
            <w:r>
              <w:rPr>
                <w:rFonts w:hint="eastAsia" w:ascii="Times New Roman" w:hAnsi="Times New Roman" w:eastAsia="宋体" w:cs="Times New Roman"/>
                <w:sz w:val="24"/>
              </w:rPr>
              <w:t>设计</w:t>
            </w:r>
            <w:r>
              <w:rPr>
                <w:rFonts w:ascii="Times New Roman" w:hAnsi="Times New Roman" w:eastAsia="宋体" w:cs="Times New Roman"/>
                <w:sz w:val="24"/>
              </w:rPr>
              <w:t>化粪池（1个，10m</w:t>
            </w:r>
            <w:r>
              <w:rPr>
                <w:rFonts w:ascii="Times New Roman" w:hAnsi="Times New Roman" w:eastAsia="宋体" w:cs="Times New Roman"/>
                <w:sz w:val="24"/>
                <w:vertAlign w:val="superscript"/>
              </w:rPr>
              <w:t>3</w:t>
            </w:r>
            <w:r>
              <w:rPr>
                <w:rFonts w:ascii="Times New Roman" w:hAnsi="Times New Roman" w:eastAsia="宋体" w:cs="Times New Roman"/>
                <w:sz w:val="24"/>
              </w:rPr>
              <w:t>）处理办公生活污水</w:t>
            </w:r>
            <w:r>
              <w:rPr>
                <w:rFonts w:ascii="Times New Roman" w:hAnsi="Times New Roman" w:eastAsia="宋体" w:cs="Times New Roman"/>
                <w:spacing w:val="-11"/>
                <w:sz w:val="24"/>
              </w:rPr>
              <w:t>。本项目排入化粪池的废水量为</w:t>
            </w:r>
            <w:r>
              <w:rPr>
                <w:rFonts w:hint="eastAsia" w:ascii="Times New Roman" w:hAnsi="Times New Roman" w:eastAsia="宋体" w:cs="Times New Roman"/>
                <w:sz w:val="24"/>
              </w:rPr>
              <w:t>0.8</w:t>
            </w:r>
            <w:r>
              <w:rPr>
                <w:rFonts w:ascii="Times New Roman" w:hAnsi="Times New Roman" w:eastAsia="宋体" w:cs="Times New Roman"/>
                <w:sz w:val="24"/>
              </w:rPr>
              <w:t>m</w:t>
            </w:r>
            <w:r>
              <w:rPr>
                <w:rFonts w:ascii="Times New Roman" w:hAnsi="Times New Roman" w:eastAsia="宋体" w:cs="Times New Roman"/>
                <w:sz w:val="24"/>
                <w:vertAlign w:val="superscript"/>
              </w:rPr>
              <w:t>3</w:t>
            </w:r>
            <w:r>
              <w:rPr>
                <w:rFonts w:ascii="Times New Roman" w:hAnsi="Times New Roman" w:eastAsia="宋体" w:cs="Times New Roman"/>
                <w:sz w:val="24"/>
              </w:rPr>
              <w:t>/d＜10m</w:t>
            </w:r>
            <w:r>
              <w:rPr>
                <w:rFonts w:ascii="Times New Roman" w:hAnsi="Times New Roman" w:eastAsia="宋体" w:cs="Times New Roman"/>
                <w:sz w:val="24"/>
                <w:vertAlign w:val="superscript"/>
              </w:rPr>
              <w:t>3</w:t>
            </w:r>
            <w:r>
              <w:rPr>
                <w:rFonts w:ascii="Times New Roman" w:hAnsi="Times New Roman" w:eastAsia="宋体" w:cs="Times New Roman"/>
                <w:sz w:val="24"/>
              </w:rPr>
              <w:t>/d，</w:t>
            </w:r>
            <w:r>
              <w:rPr>
                <w:rFonts w:ascii="Times New Roman" w:hAnsi="Times New Roman" w:eastAsia="宋体" w:cs="Times New Roman"/>
                <w:spacing w:val="-11"/>
                <w:sz w:val="24"/>
              </w:rPr>
              <w:t>因此</w:t>
            </w:r>
            <w:r>
              <w:rPr>
                <w:rFonts w:hint="eastAsia" w:ascii="Times New Roman" w:hAnsi="Times New Roman" w:eastAsia="宋体" w:cs="Times New Roman"/>
                <w:spacing w:val="-11"/>
                <w:sz w:val="24"/>
              </w:rPr>
              <w:t>设计</w:t>
            </w:r>
            <w:r>
              <w:rPr>
                <w:rFonts w:ascii="Times New Roman" w:hAnsi="Times New Roman" w:eastAsia="宋体" w:cs="Times New Roman"/>
                <w:sz w:val="24"/>
              </w:rPr>
              <w:t>化粪池</w:t>
            </w:r>
            <w:r>
              <w:rPr>
                <w:rFonts w:ascii="Times New Roman" w:hAnsi="Times New Roman" w:eastAsia="宋体" w:cs="Times New Roman"/>
                <w:spacing w:val="-11"/>
                <w:sz w:val="24"/>
              </w:rPr>
              <w:t>其容积可满足项目需求</w:t>
            </w:r>
            <w:r>
              <w:rPr>
                <w:rFonts w:hint="eastAsia" w:ascii="Times New Roman" w:hAnsi="Times New Roman" w:eastAsia="宋体" w:cs="Times New Roman"/>
                <w:spacing w:val="-11"/>
                <w:sz w:val="24"/>
              </w:rPr>
              <w:t>，设置合理</w:t>
            </w:r>
            <w:r>
              <w:rPr>
                <w:rFonts w:ascii="Times New Roman" w:hAnsi="Times New Roman" w:eastAsia="宋体" w:cs="Times New Roman"/>
                <w:spacing w:val="-11"/>
                <w:sz w:val="24"/>
              </w:rPr>
              <w:t>。</w:t>
            </w:r>
          </w:p>
          <w:p>
            <w:pPr>
              <w:pStyle w:val="36"/>
              <w:snapToGrid w:val="0"/>
              <w:spacing w:line="360" w:lineRule="auto"/>
              <w:ind w:firstLine="482" w:firstLineChars="200"/>
              <w:jc w:val="both"/>
              <w:rPr>
                <w:rFonts w:ascii="Times New Roman" w:cs="Times New Roman"/>
                <w:color w:val="auto"/>
              </w:rPr>
            </w:pPr>
            <w:r>
              <w:rPr>
                <w:rFonts w:hint="eastAsia" w:ascii="Times New Roman"/>
                <w:b/>
                <w:bCs/>
                <w:color w:val="auto"/>
                <w:shd w:val="clear" w:color="auto" w:fill="FFFFFF"/>
              </w:rPr>
              <w:t>事故池：</w:t>
            </w:r>
            <w:r>
              <w:rPr>
                <w:rFonts w:hint="eastAsia" w:ascii="Times New Roman"/>
                <w:color w:val="auto"/>
              </w:rPr>
              <w:t>本项目</w:t>
            </w:r>
            <w:r>
              <w:rPr>
                <w:rFonts w:ascii="Times New Roman"/>
                <w:color w:val="auto"/>
                <w:lang w:val="zh-CN"/>
              </w:rPr>
              <w:t>事故池容积按</w:t>
            </w:r>
            <w:r>
              <w:rPr>
                <w:rFonts w:hint="eastAsia" w:ascii="Times New Roman"/>
                <w:color w:val="auto"/>
              </w:rPr>
              <w:t>3h</w:t>
            </w:r>
            <w:r>
              <w:rPr>
                <w:rFonts w:hint="eastAsia" w:ascii="Times New Roman"/>
                <w:color w:val="auto"/>
                <w:lang w:val="zh-CN"/>
              </w:rPr>
              <w:t>废水产生量</w:t>
            </w:r>
            <w:r>
              <w:rPr>
                <w:rFonts w:ascii="Times New Roman"/>
                <w:color w:val="auto"/>
                <w:lang w:val="zh-CN"/>
              </w:rPr>
              <w:t>计算（按照设备检修时间</w:t>
            </w:r>
            <w:r>
              <w:rPr>
                <w:rFonts w:hint="eastAsia" w:ascii="Times New Roman"/>
                <w:color w:val="auto"/>
              </w:rPr>
              <w:t>1天</w:t>
            </w:r>
            <w:r>
              <w:rPr>
                <w:rFonts w:ascii="Times New Roman"/>
                <w:color w:val="auto"/>
                <w:lang w:val="zh-CN"/>
              </w:rPr>
              <w:t>考虑），</w:t>
            </w:r>
            <w:r>
              <w:rPr>
                <w:rFonts w:hint="eastAsia" w:ascii="Times New Roman"/>
                <w:color w:val="auto"/>
              </w:rPr>
              <w:t>3h废水</w:t>
            </w:r>
            <w:r>
              <w:rPr>
                <w:rFonts w:hint="eastAsia" w:ascii="Times New Roman"/>
                <w:color w:val="auto"/>
                <w:lang w:val="zh-CN"/>
              </w:rPr>
              <w:t>产生量</w:t>
            </w:r>
            <w:r>
              <w:rPr>
                <w:rFonts w:ascii="Times New Roman"/>
                <w:color w:val="auto"/>
                <w:lang w:val="zh-CN"/>
              </w:rPr>
              <w:t>为</w:t>
            </w:r>
            <w:r>
              <w:rPr>
                <w:rFonts w:hint="eastAsia" w:ascii="Times New Roman"/>
                <w:color w:val="auto"/>
              </w:rPr>
              <w:t>241.5</w:t>
            </w:r>
            <w:r>
              <w:rPr>
                <w:rFonts w:ascii="Times New Roman"/>
                <w:color w:val="auto"/>
                <w:lang w:val="zh-CN"/>
              </w:rPr>
              <w:t>m</w:t>
            </w:r>
            <w:r>
              <w:rPr>
                <w:rFonts w:hint="eastAsia" w:ascii="Times New Roman"/>
                <w:color w:val="auto"/>
                <w:vertAlign w:val="superscript"/>
              </w:rPr>
              <w:t>3</w:t>
            </w:r>
            <w:r>
              <w:rPr>
                <w:rFonts w:ascii="Times New Roman"/>
                <w:color w:val="auto"/>
                <w:lang w:val="zh-CN"/>
              </w:rPr>
              <w:t>。本次评价提出建设一座</w:t>
            </w:r>
            <w:r>
              <w:rPr>
                <w:rFonts w:hint="eastAsia" w:ascii="Times New Roman"/>
                <w:color w:val="auto"/>
              </w:rPr>
              <w:t>250</w:t>
            </w:r>
            <w:r>
              <w:rPr>
                <w:rFonts w:ascii="Times New Roman"/>
                <w:color w:val="auto"/>
                <w:lang w:val="zh-CN"/>
              </w:rPr>
              <w:t>m</w:t>
            </w:r>
            <w:r>
              <w:rPr>
                <w:rFonts w:hint="eastAsia" w:ascii="Times New Roman"/>
                <w:color w:val="auto"/>
                <w:vertAlign w:val="superscript"/>
              </w:rPr>
              <w:t>3</w:t>
            </w:r>
            <w:r>
              <w:rPr>
                <w:rFonts w:ascii="Times New Roman"/>
                <w:color w:val="auto"/>
                <w:lang w:val="zh-CN"/>
              </w:rPr>
              <w:t>的事故池，容积满足事故废水暂存需要。事故池设置在</w:t>
            </w:r>
            <w:r>
              <w:rPr>
                <w:rFonts w:hint="eastAsia" w:ascii="Times New Roman"/>
                <w:color w:val="auto"/>
              </w:rPr>
              <w:t>三级沉淀池</w:t>
            </w:r>
            <w:r>
              <w:rPr>
                <w:rFonts w:ascii="Times New Roman"/>
                <w:color w:val="auto"/>
                <w:lang w:val="zh-CN"/>
              </w:rPr>
              <w:t>旁，事故池设置容积</w:t>
            </w:r>
            <w:r>
              <w:rPr>
                <w:rFonts w:hint="eastAsia" w:ascii="Times New Roman"/>
                <w:color w:val="auto"/>
                <w:lang w:val="zh-CN"/>
              </w:rPr>
              <w:t>、位置</w:t>
            </w:r>
            <w:r>
              <w:rPr>
                <w:rFonts w:ascii="Times New Roman"/>
                <w:color w:val="auto"/>
                <w:lang w:val="zh-CN"/>
              </w:rPr>
              <w:t>合理。</w:t>
            </w:r>
          </w:p>
          <w:p>
            <w:pPr>
              <w:adjustRightInd w:val="0"/>
              <w:snapToGrid w:val="0"/>
              <w:spacing w:line="360" w:lineRule="auto"/>
              <w:ind w:firstLine="482" w:firstLineChars="200"/>
              <w:rPr>
                <w:rFonts w:ascii="Times New Roman" w:hAnsi="Times New Roman" w:eastAsia="宋体" w:cs="Times New Roman"/>
                <w:b/>
                <w:bCs/>
                <w:sz w:val="24"/>
                <w:lang w:val="zh-CN"/>
              </w:rPr>
            </w:pPr>
            <w:r>
              <w:rPr>
                <w:rFonts w:ascii="Times New Roman" w:hAnsi="Times New Roman" w:eastAsia="宋体" w:cs="Times New Roman"/>
                <w:b/>
                <w:bCs/>
                <w:sz w:val="24"/>
                <w:lang w:val="zh-CN"/>
              </w:rPr>
              <w:t>初期雨水收集池</w:t>
            </w:r>
            <w:r>
              <w:rPr>
                <w:rFonts w:hint="eastAsia" w:ascii="Times New Roman" w:hAnsi="Times New Roman" w:eastAsia="宋体" w:cs="Times New Roman"/>
                <w:b/>
                <w:bCs/>
                <w:sz w:val="24"/>
                <w:lang w:val="zh-CN"/>
              </w:rPr>
              <w:t>：</w:t>
            </w:r>
            <w:r>
              <w:rPr>
                <w:rFonts w:hint="eastAsia" w:ascii="Times New Roman" w:hAnsi="Times New Roman" w:eastAsia="宋体"/>
                <w:sz w:val="24"/>
              </w:rPr>
              <w:t>本项目</w:t>
            </w:r>
            <w:r>
              <w:rPr>
                <w:rFonts w:hint="eastAsia" w:ascii="Times New Roman" w:hAnsi="Times New Roman" w:eastAsia="宋体"/>
                <w:sz w:val="24"/>
                <w:lang w:val="zh-CN"/>
              </w:rPr>
              <w:t>初期雨水收集池</w:t>
            </w:r>
            <w:r>
              <w:rPr>
                <w:rFonts w:ascii="Times New Roman" w:hAnsi="Times New Roman" w:eastAsia="宋体"/>
                <w:sz w:val="24"/>
                <w:lang w:val="zh-CN"/>
              </w:rPr>
              <w:t>容积按</w:t>
            </w:r>
            <w:r>
              <w:rPr>
                <w:rFonts w:hint="eastAsia" w:ascii="Times New Roman"/>
                <w:sz w:val="24"/>
              </w:rPr>
              <w:t>1次</w:t>
            </w:r>
            <w:r>
              <w:rPr>
                <w:rFonts w:hint="eastAsia" w:ascii="Times New Roman" w:hAnsi="Times New Roman" w:eastAsia="宋体"/>
                <w:sz w:val="24"/>
                <w:lang w:val="zh-CN"/>
              </w:rPr>
              <w:t>初期雨水产生量</w:t>
            </w:r>
            <w:r>
              <w:rPr>
                <w:rFonts w:ascii="Times New Roman" w:hAnsi="Times New Roman" w:eastAsia="宋体"/>
                <w:sz w:val="24"/>
                <w:lang w:val="zh-CN"/>
              </w:rPr>
              <w:t>计算（按照设备检修时间</w:t>
            </w:r>
            <w:r>
              <w:rPr>
                <w:rFonts w:hint="eastAsia" w:ascii="Times New Roman"/>
                <w:sz w:val="24"/>
              </w:rPr>
              <w:t>1天</w:t>
            </w:r>
            <w:r>
              <w:rPr>
                <w:rFonts w:ascii="Times New Roman" w:hAnsi="Times New Roman" w:eastAsia="宋体"/>
                <w:sz w:val="24"/>
                <w:lang w:val="zh-CN"/>
              </w:rPr>
              <w:t>考虑），</w:t>
            </w:r>
            <w:r>
              <w:rPr>
                <w:rFonts w:hint="eastAsia" w:ascii="Times New Roman" w:hAnsi="Times New Roman" w:eastAsia="宋体"/>
                <w:sz w:val="24"/>
                <w:lang w:val="zh-CN"/>
              </w:rPr>
              <w:t>初期雨水</w:t>
            </w:r>
            <w:r>
              <w:rPr>
                <w:rFonts w:hint="eastAsia" w:ascii="Times New Roman"/>
                <w:sz w:val="24"/>
              </w:rPr>
              <w:t>1次</w:t>
            </w:r>
            <w:r>
              <w:rPr>
                <w:rFonts w:hint="eastAsia" w:ascii="Times New Roman" w:hAnsi="Times New Roman" w:eastAsia="宋体"/>
                <w:sz w:val="24"/>
                <w:lang w:val="zh-CN"/>
              </w:rPr>
              <w:t>产生量</w:t>
            </w:r>
            <w:r>
              <w:rPr>
                <w:rFonts w:ascii="Times New Roman" w:hAnsi="Times New Roman" w:eastAsia="宋体"/>
                <w:sz w:val="24"/>
                <w:lang w:val="zh-CN"/>
              </w:rPr>
              <w:t>为</w:t>
            </w:r>
            <w:r>
              <w:rPr>
                <w:rFonts w:hint="eastAsia" w:ascii="Times New Roman"/>
                <w:sz w:val="24"/>
              </w:rPr>
              <w:t>77.93</w:t>
            </w:r>
            <w:r>
              <w:rPr>
                <w:rFonts w:ascii="Times New Roman" w:hAnsi="Times New Roman" w:eastAsia="宋体"/>
                <w:sz w:val="24"/>
                <w:lang w:val="zh-CN"/>
              </w:rPr>
              <w:t>m</w:t>
            </w:r>
            <w:r>
              <w:rPr>
                <w:rFonts w:hint="eastAsia" w:ascii="Times New Roman" w:hAnsi="Times New Roman" w:eastAsia="宋体"/>
                <w:sz w:val="24"/>
                <w:vertAlign w:val="superscript"/>
              </w:rPr>
              <w:t>3</w:t>
            </w:r>
            <w:r>
              <w:rPr>
                <w:rFonts w:ascii="Times New Roman" w:hAnsi="Times New Roman" w:eastAsia="宋体"/>
                <w:sz w:val="24"/>
                <w:lang w:val="zh-CN"/>
              </w:rPr>
              <w:t>。本次评价提出建设一座</w:t>
            </w:r>
            <w:r>
              <w:rPr>
                <w:rFonts w:hint="eastAsia" w:ascii="Times New Roman" w:hAnsi="Times New Roman" w:eastAsia="宋体"/>
                <w:sz w:val="24"/>
              </w:rPr>
              <w:t>10</w:t>
            </w:r>
            <w:r>
              <w:rPr>
                <w:rFonts w:hint="eastAsia" w:ascii="Times New Roman"/>
                <w:sz w:val="24"/>
              </w:rPr>
              <w:t>0</w:t>
            </w:r>
            <w:r>
              <w:rPr>
                <w:rFonts w:ascii="Times New Roman" w:hAnsi="Times New Roman" w:eastAsia="宋体"/>
                <w:sz w:val="24"/>
                <w:lang w:val="zh-CN"/>
              </w:rPr>
              <w:t>m</w:t>
            </w:r>
            <w:r>
              <w:rPr>
                <w:rFonts w:hint="eastAsia" w:ascii="Times New Roman" w:hAnsi="Times New Roman" w:eastAsia="宋体"/>
                <w:sz w:val="24"/>
                <w:vertAlign w:val="superscript"/>
              </w:rPr>
              <w:t>3</w:t>
            </w:r>
            <w:r>
              <w:rPr>
                <w:rFonts w:ascii="Times New Roman" w:hAnsi="Times New Roman" w:eastAsia="宋体"/>
                <w:sz w:val="24"/>
                <w:lang w:val="zh-CN"/>
              </w:rPr>
              <w:t>的</w:t>
            </w:r>
            <w:r>
              <w:rPr>
                <w:rFonts w:hint="eastAsia" w:ascii="Times New Roman" w:hAnsi="Times New Roman" w:eastAsia="宋体"/>
                <w:sz w:val="24"/>
                <w:lang w:val="zh-CN"/>
              </w:rPr>
              <w:t>初期雨水收集池</w:t>
            </w:r>
            <w:r>
              <w:rPr>
                <w:rFonts w:ascii="Times New Roman" w:hAnsi="Times New Roman" w:eastAsia="宋体"/>
                <w:sz w:val="24"/>
                <w:lang w:val="zh-CN"/>
              </w:rPr>
              <w:t>，容积满足</w:t>
            </w:r>
            <w:r>
              <w:rPr>
                <w:rFonts w:hint="eastAsia" w:ascii="Times New Roman" w:hAnsi="Times New Roman" w:eastAsia="宋体"/>
                <w:sz w:val="24"/>
                <w:lang w:val="zh-CN"/>
              </w:rPr>
              <w:t>初期雨水</w:t>
            </w:r>
            <w:r>
              <w:rPr>
                <w:rFonts w:ascii="Times New Roman" w:hAnsi="Times New Roman" w:eastAsia="宋体"/>
                <w:sz w:val="24"/>
                <w:lang w:val="zh-CN"/>
              </w:rPr>
              <w:t>暂存需要。</w:t>
            </w:r>
            <w:r>
              <w:rPr>
                <w:rFonts w:hint="eastAsia" w:ascii="Times New Roman" w:hAnsi="Times New Roman" w:eastAsia="宋体"/>
                <w:sz w:val="24"/>
                <w:lang w:val="zh-CN"/>
              </w:rPr>
              <w:t>初期雨水收集池</w:t>
            </w:r>
            <w:r>
              <w:rPr>
                <w:rFonts w:ascii="Times New Roman" w:hAnsi="Times New Roman" w:eastAsia="宋体"/>
                <w:sz w:val="24"/>
                <w:lang w:val="zh-CN"/>
              </w:rPr>
              <w:t>设置在</w:t>
            </w:r>
            <w:r>
              <w:rPr>
                <w:rFonts w:hint="eastAsia" w:ascii="Times New Roman"/>
                <w:sz w:val="24"/>
              </w:rPr>
              <w:t>项目区南端</w:t>
            </w:r>
            <w:r>
              <w:rPr>
                <w:rFonts w:ascii="Times New Roman" w:hAnsi="Times New Roman" w:eastAsia="宋体"/>
                <w:sz w:val="24"/>
                <w:lang w:val="zh-CN"/>
              </w:rPr>
              <w:t>，</w:t>
            </w:r>
            <w:r>
              <w:rPr>
                <w:rFonts w:hint="eastAsia" w:ascii="Times New Roman" w:hAnsi="Times New Roman" w:eastAsia="宋体"/>
                <w:sz w:val="24"/>
                <w:lang w:val="zh-CN"/>
              </w:rPr>
              <w:t>初期雨水收集池</w:t>
            </w:r>
            <w:r>
              <w:rPr>
                <w:rFonts w:ascii="Times New Roman" w:hAnsi="Times New Roman" w:eastAsia="宋体"/>
                <w:sz w:val="24"/>
                <w:lang w:val="zh-CN"/>
              </w:rPr>
              <w:t>设置容积</w:t>
            </w:r>
            <w:r>
              <w:rPr>
                <w:rFonts w:hint="eastAsia" w:ascii="Times New Roman" w:hAnsi="Times New Roman" w:eastAsia="宋体"/>
                <w:sz w:val="24"/>
                <w:lang w:val="zh-CN"/>
              </w:rPr>
              <w:t>、位置</w:t>
            </w:r>
            <w:r>
              <w:rPr>
                <w:rFonts w:ascii="Times New Roman" w:hAnsi="Times New Roman" w:eastAsia="宋体"/>
                <w:sz w:val="24"/>
                <w:lang w:val="zh-CN"/>
              </w:rPr>
              <w:t>合理。</w:t>
            </w:r>
          </w:p>
          <w:p>
            <w:pPr>
              <w:pStyle w:val="67"/>
              <w:adjustRightInd w:val="0"/>
              <w:snapToGrid w:val="0"/>
              <w:spacing w:before="0" w:after="0" w:line="360" w:lineRule="auto"/>
              <w:ind w:firstLine="482" w:firstLineChars="200"/>
              <w:jc w:val="both"/>
              <w:rPr>
                <w:rFonts w:ascii="Times New Roman" w:hAnsi="Times New Roman" w:cs="Times New Roman"/>
                <w:b/>
                <w:bCs/>
                <w:sz w:val="24"/>
                <w:lang w:val="en-US" w:eastAsia="zh-CN"/>
              </w:rPr>
            </w:pPr>
            <w:r>
              <w:rPr>
                <w:rFonts w:hint="eastAsia" w:ascii="Times New Roman" w:hAnsi="Times New Roman" w:cs="Times New Roman"/>
                <w:b/>
                <w:bCs/>
                <w:sz w:val="24"/>
                <w:lang w:val="en-US" w:eastAsia="zh-CN"/>
              </w:rPr>
              <w:t>（3）生产废水全部回用零排放可行性分析</w:t>
            </w:r>
          </w:p>
          <w:p>
            <w:pPr>
              <w:pStyle w:val="67"/>
              <w:adjustRightInd w:val="0"/>
              <w:snapToGrid w:val="0"/>
              <w:spacing w:before="0" w:after="0" w:line="360" w:lineRule="auto"/>
              <w:ind w:firstLine="480" w:firstLineChars="200"/>
              <w:jc w:val="both"/>
              <w:rPr>
                <w:rFonts w:ascii="Times New Roman" w:hAnsi="Times New Roman" w:cs="Times New Roman"/>
                <w:b/>
                <w:bCs/>
                <w:sz w:val="24"/>
                <w:lang w:val="en-US" w:eastAsia="zh-CN"/>
              </w:rPr>
            </w:pPr>
            <w:r>
              <w:rPr>
                <w:rFonts w:ascii="Times New Roman" w:hAnsi="Times New Roman" w:cs="Times New Roman"/>
                <w:sz w:val="24"/>
              </w:rPr>
              <w:t>雨水</w:t>
            </w:r>
            <w:r>
              <w:rPr>
                <w:rFonts w:hint="eastAsia" w:ascii="Times New Roman" w:hAnsi="Times New Roman" w:cs="Times New Roman"/>
                <w:sz w:val="24"/>
                <w:lang w:eastAsia="zh-CN"/>
              </w:rPr>
              <w:t>经</w:t>
            </w:r>
            <w:r>
              <w:rPr>
                <w:rFonts w:ascii="Times New Roman" w:hAnsi="Times New Roman" w:cs="Times New Roman"/>
                <w:sz w:val="24"/>
                <w:lang w:val="en-US" w:eastAsia="zh-CN"/>
              </w:rPr>
              <w:t>雨污分流系统进入初期雨水</w:t>
            </w:r>
            <w:r>
              <w:rPr>
                <w:rFonts w:hint="eastAsia" w:ascii="Times New Roman" w:hAnsi="Times New Roman" w:cs="Times New Roman"/>
                <w:sz w:val="24"/>
                <w:lang w:val="en-US" w:eastAsia="zh-CN"/>
              </w:rPr>
              <w:t>收集池，前15分钟雨水回用于生产，其余雨水经雨水沟进入北桥河</w:t>
            </w:r>
            <w:r>
              <w:rPr>
                <w:rFonts w:ascii="Times New Roman" w:hAnsi="Times New Roman" w:cs="Times New Roman"/>
                <w:sz w:val="24"/>
              </w:rPr>
              <w:t>；</w:t>
            </w:r>
            <w:r>
              <w:rPr>
                <w:rFonts w:hint="eastAsia" w:ascii="Times New Roman" w:hAnsi="Times New Roman" w:cs="Times New Roman"/>
                <w:sz w:val="24"/>
                <w:lang w:val="en-US" w:eastAsia="zh-CN"/>
              </w:rPr>
              <w:t>生产废水</w:t>
            </w:r>
            <w:r>
              <w:rPr>
                <w:rFonts w:ascii="Times New Roman" w:hAnsi="Times New Roman" w:cs="Times New Roman"/>
                <w:sz w:val="24"/>
                <w:lang w:val="en-US" w:eastAsia="zh-CN"/>
              </w:rPr>
              <w:t>经</w:t>
            </w:r>
            <w:r>
              <w:rPr>
                <w:rFonts w:ascii="Times New Roman" w:hAnsi="Times New Roman" w:cs="Times New Roman"/>
                <w:sz w:val="24"/>
                <w:shd w:val="clear" w:color="auto" w:fill="FFFFFF"/>
                <w:lang w:val="en-US" w:eastAsia="zh-CN" w:bidi="ar-SA"/>
              </w:rPr>
              <w:t>1个</w:t>
            </w:r>
            <w:r>
              <w:rPr>
                <w:rFonts w:hint="eastAsia" w:ascii="Times New Roman" w:hAnsi="Times New Roman" w:cs="Times New Roman"/>
                <w:sz w:val="24"/>
                <w:shd w:val="clear" w:color="auto" w:fill="FFFFFF"/>
                <w:lang w:val="en-US" w:eastAsia="zh-CN" w:bidi="ar-SA"/>
              </w:rPr>
              <w:t>三级沉淀池沉淀</w:t>
            </w:r>
            <w:r>
              <w:rPr>
                <w:rFonts w:ascii="Times New Roman" w:hAnsi="Times New Roman" w:cs="Times New Roman"/>
                <w:sz w:val="24"/>
                <w:shd w:val="clear" w:color="auto" w:fill="FFFFFF"/>
                <w:lang w:val="en-US" w:eastAsia="zh-CN" w:bidi="ar-SA"/>
              </w:rPr>
              <w:t>处理</w:t>
            </w:r>
            <w:r>
              <w:rPr>
                <w:rFonts w:hint="eastAsia" w:ascii="Times New Roman" w:hAnsi="Times New Roman" w:cs="Times New Roman"/>
                <w:sz w:val="24"/>
                <w:shd w:val="clear" w:color="auto" w:fill="FFFFFF"/>
                <w:lang w:val="en-US" w:eastAsia="zh-CN" w:bidi="ar-SA"/>
              </w:rPr>
              <w:t>后</w:t>
            </w:r>
            <w:r>
              <w:rPr>
                <w:rFonts w:ascii="Times New Roman" w:hAnsi="Times New Roman" w:cs="Times New Roman"/>
                <w:sz w:val="24"/>
                <w:lang w:val="en-US" w:eastAsia="zh-CN"/>
              </w:rPr>
              <w:t>循环使用，不外排</w:t>
            </w:r>
            <w:r>
              <w:rPr>
                <w:rFonts w:hint="eastAsia" w:ascii="Times New Roman" w:hAnsi="Times New Roman" w:cs="Times New Roman"/>
                <w:sz w:val="24"/>
                <w:lang w:val="en-US" w:eastAsia="zh-CN"/>
              </w:rPr>
              <w:t>，为了保障回用水质满足生产需求，本次环评要求在最后100</w:t>
            </w:r>
            <w:r>
              <w:rPr>
                <w:rFonts w:ascii="Times New Roman" w:hAnsi="Times New Roman" w:cs="Times New Roman"/>
                <w:sz w:val="24"/>
                <w:shd w:val="clear" w:color="auto" w:fill="FFFFFF"/>
                <w:lang w:val="en-US" w:eastAsia="zh-CN" w:bidi="ar-SA"/>
              </w:rPr>
              <w:t>m</w:t>
            </w:r>
            <w:r>
              <w:rPr>
                <w:rFonts w:ascii="Times New Roman" w:hAnsi="Times New Roman" w:cs="Times New Roman"/>
                <w:sz w:val="24"/>
                <w:shd w:val="clear" w:color="auto" w:fill="FFFFFF"/>
                <w:vertAlign w:val="superscript"/>
                <w:lang w:val="en-US" w:eastAsia="zh-CN" w:bidi="ar-SA"/>
              </w:rPr>
              <w:t>3</w:t>
            </w:r>
            <w:r>
              <w:rPr>
                <w:rFonts w:hint="eastAsia" w:ascii="Times New Roman" w:hAnsi="Times New Roman" w:cs="Times New Roman"/>
                <w:sz w:val="24"/>
                <w:shd w:val="clear" w:color="auto" w:fill="FFFFFF"/>
                <w:lang w:val="en-US" w:eastAsia="zh-CN" w:bidi="ar-SA"/>
              </w:rPr>
              <w:t>处设置加药系统，按水质情况，投加絮凝沉淀剂，缩短沉淀时间，保障废水经沉淀处理后满足生产需要</w:t>
            </w:r>
            <w:r>
              <w:rPr>
                <w:rFonts w:ascii="Times New Roman" w:hAnsi="Times New Roman" w:cs="Times New Roman"/>
                <w:sz w:val="24"/>
                <w:lang w:eastAsia="zh-CN"/>
              </w:rPr>
              <w:t>；</w:t>
            </w:r>
            <w:r>
              <w:rPr>
                <w:rFonts w:ascii="Times New Roman" w:hAnsi="Times New Roman" w:cs="Times New Roman"/>
                <w:sz w:val="24"/>
                <w:lang w:val="en-US" w:eastAsia="zh-CN"/>
              </w:rPr>
              <w:t>生活污</w:t>
            </w:r>
            <w:r>
              <w:rPr>
                <w:rFonts w:ascii="Times New Roman" w:hAnsi="Times New Roman" w:cs="Times New Roman"/>
                <w:sz w:val="24"/>
              </w:rPr>
              <w:t>水</w:t>
            </w:r>
            <w:r>
              <w:rPr>
                <w:rFonts w:hint="eastAsia" w:ascii="Times New Roman" w:hAnsi="Times New Roman" w:cs="Times New Roman"/>
                <w:sz w:val="24"/>
                <w:lang w:val="en-US" w:eastAsia="zh-CN"/>
              </w:rPr>
              <w:t>经</w:t>
            </w:r>
            <w:r>
              <w:rPr>
                <w:rFonts w:ascii="Times New Roman" w:hAnsi="Times New Roman" w:cs="Times New Roman"/>
                <w:sz w:val="24"/>
                <w:lang w:val="en-US" w:eastAsia="zh-CN"/>
              </w:rPr>
              <w:t>化粪池</w:t>
            </w:r>
            <w:r>
              <w:rPr>
                <w:rFonts w:ascii="Times New Roman" w:hAnsi="Times New Roman" w:cs="Times New Roman"/>
                <w:sz w:val="24"/>
              </w:rPr>
              <w:t>处理后</w:t>
            </w:r>
            <w:r>
              <w:rPr>
                <w:rFonts w:ascii="Times New Roman" w:hAnsi="Times New Roman" w:cs="Times New Roman"/>
                <w:sz w:val="24"/>
                <w:lang w:eastAsia="zh-CN"/>
              </w:rPr>
              <w:t>，</w:t>
            </w:r>
            <w:r>
              <w:rPr>
                <w:rFonts w:hint="eastAsia" w:ascii="Times New Roman" w:cs="Times New Roman"/>
                <w:sz w:val="24"/>
                <w:lang w:val="en-US" w:eastAsia="zh-CN"/>
              </w:rPr>
              <w:t>委托当地居民清掏用作农肥使用</w:t>
            </w:r>
            <w:r>
              <w:rPr>
                <w:rFonts w:ascii="Times New Roman" w:hAnsi="Times New Roman" w:cs="Times New Roman"/>
                <w:sz w:val="24"/>
                <w:lang w:val="en-US" w:eastAsia="zh-CN"/>
              </w:rPr>
              <w:t>。</w:t>
            </w:r>
          </w:p>
          <w:p>
            <w:pPr>
              <w:pStyle w:val="7"/>
              <w:adjustRightInd w:val="0"/>
              <w:snapToGrid w:val="0"/>
              <w:spacing w:line="360" w:lineRule="auto"/>
              <w:ind w:firstLine="480" w:firstLineChars="200"/>
              <w:rPr>
                <w:rFonts w:ascii="Times New Roman" w:hAnsi="Times New Roman" w:eastAsia="宋体"/>
              </w:rPr>
            </w:pPr>
            <w:r>
              <w:rPr>
                <w:rFonts w:ascii="Times New Roman" w:hAnsi="Times New Roman" w:eastAsia="宋体" w:cs="Times New Roman"/>
                <w:shd w:val="clear" w:color="auto" w:fill="FFFFFF"/>
              </w:rPr>
              <w:t>项目拟设1个</w:t>
            </w:r>
            <w:r>
              <w:rPr>
                <w:rFonts w:hint="eastAsia" w:ascii="Times New Roman" w:hAnsi="Times New Roman" w:eastAsia="宋体" w:cs="Times New Roman"/>
                <w:shd w:val="clear" w:color="auto" w:fill="FFFFFF"/>
              </w:rPr>
              <w:t>三级沉淀池</w:t>
            </w:r>
            <w:r>
              <w:rPr>
                <w:rFonts w:ascii="Times New Roman" w:hAnsi="Times New Roman" w:eastAsia="宋体" w:cs="Times New Roman"/>
                <w:shd w:val="clear" w:color="auto" w:fill="FFFFFF"/>
              </w:rPr>
              <w:t>处理</w:t>
            </w:r>
            <w:r>
              <w:rPr>
                <w:rFonts w:hint="eastAsia" w:ascii="Times New Roman" w:hAnsi="Times New Roman" w:eastAsia="宋体" w:cs="Times New Roman"/>
                <w:shd w:val="clear" w:color="auto" w:fill="FFFFFF"/>
              </w:rPr>
              <w:t>生产废</w:t>
            </w:r>
            <w:r>
              <w:rPr>
                <w:rFonts w:ascii="Times New Roman" w:hAnsi="Times New Roman" w:eastAsia="宋体" w:cs="Times New Roman"/>
                <w:shd w:val="clear" w:color="auto" w:fill="FFFFFF"/>
              </w:rPr>
              <w:t>水，</w:t>
            </w:r>
            <w:r>
              <w:rPr>
                <w:rFonts w:hint="eastAsia" w:ascii="Times New Roman" w:hAnsi="Times New Roman" w:eastAsia="宋体" w:cs="Times New Roman"/>
                <w:shd w:val="clear" w:color="auto" w:fill="FFFFFF"/>
              </w:rPr>
              <w:t>本项目生产废水产生量为721.28m</w:t>
            </w:r>
            <w:r>
              <w:rPr>
                <w:rFonts w:hint="eastAsia" w:ascii="Times New Roman" w:hAnsi="Times New Roman" w:eastAsia="宋体" w:cs="Times New Roman"/>
                <w:shd w:val="clear" w:color="auto" w:fill="FFFFFF"/>
                <w:vertAlign w:val="superscript"/>
              </w:rPr>
              <w:t>3</w:t>
            </w:r>
            <w:r>
              <w:rPr>
                <w:rFonts w:hint="eastAsia" w:ascii="Times New Roman" w:hAnsi="Times New Roman" w:eastAsia="宋体" w:cs="Times New Roman"/>
                <w:shd w:val="clear" w:color="auto" w:fill="FFFFFF"/>
              </w:rPr>
              <w:t>/d</w:t>
            </w:r>
            <w:r>
              <w:rPr>
                <w:rFonts w:ascii="Times New Roman" w:hAnsi="Times New Roman" w:eastAsia="宋体" w:cs="Times New Roman"/>
              </w:rPr>
              <w:t>，</w:t>
            </w:r>
            <w:r>
              <w:rPr>
                <w:rFonts w:hint="eastAsia" w:ascii="Times New Roman" w:hAnsi="Times New Roman" w:eastAsia="宋体" w:cs="Times New Roman"/>
              </w:rPr>
              <w:t>本项目三级沉淀</w:t>
            </w:r>
            <w:r>
              <w:rPr>
                <w:rFonts w:ascii="Times New Roman" w:hAnsi="Times New Roman" w:eastAsia="宋体" w:cs="Times New Roman"/>
                <w:shd w:val="clear" w:color="auto" w:fill="FFFFFF"/>
              </w:rPr>
              <w:t>（</w:t>
            </w:r>
            <w:r>
              <w:rPr>
                <w:rFonts w:hint="eastAsia" w:ascii="Times New Roman" w:hAnsi="Times New Roman" w:eastAsia="宋体" w:cs="Times New Roman"/>
                <w:shd w:val="clear" w:color="auto" w:fill="FFFFFF"/>
              </w:rPr>
              <w:t>总容积</w:t>
            </w:r>
            <w:r>
              <w:rPr>
                <w:rFonts w:ascii="Times New Roman" w:hAnsi="Times New Roman" w:eastAsia="宋体" w:cs="Times New Roman"/>
                <w:shd w:val="clear" w:color="auto" w:fill="FFFFFF"/>
              </w:rPr>
              <w:t>为</w:t>
            </w:r>
            <w:r>
              <w:rPr>
                <w:rFonts w:hint="eastAsia" w:ascii="Times New Roman" w:hAnsi="Times New Roman" w:eastAsia="宋体" w:cs="Times New Roman"/>
                <w:shd w:val="clear" w:color="auto" w:fill="FFFFFF"/>
              </w:rPr>
              <w:t>1500</w:t>
            </w:r>
            <w:r>
              <w:rPr>
                <w:rFonts w:ascii="Times New Roman" w:hAnsi="Times New Roman" w:eastAsia="宋体" w:cs="Times New Roman"/>
                <w:shd w:val="clear" w:color="auto" w:fill="FFFFFF"/>
              </w:rPr>
              <w:t>m</w:t>
            </w:r>
            <w:r>
              <w:rPr>
                <w:rFonts w:ascii="Times New Roman" w:hAnsi="Times New Roman" w:eastAsia="宋体" w:cs="Times New Roman"/>
                <w:shd w:val="clear" w:color="auto" w:fill="FFFFFF"/>
                <w:vertAlign w:val="superscript"/>
              </w:rPr>
              <w:t>3</w:t>
            </w:r>
            <w:r>
              <w:rPr>
                <w:rFonts w:hint="eastAsia" w:ascii="Times New Roman" w:hAnsi="Times New Roman" w:eastAsia="宋体" w:cs="Times New Roman"/>
                <w:shd w:val="clear" w:color="auto" w:fill="FFFFFF"/>
              </w:rPr>
              <w:t>，1000</w:t>
            </w:r>
            <w:r>
              <w:rPr>
                <w:rFonts w:ascii="Times New Roman" w:hAnsi="Times New Roman" w:eastAsia="宋体" w:cs="Times New Roman"/>
                <w:shd w:val="clear" w:color="auto" w:fill="FFFFFF"/>
              </w:rPr>
              <w:t>m</w:t>
            </w:r>
            <w:r>
              <w:rPr>
                <w:rFonts w:ascii="Times New Roman" w:hAnsi="Times New Roman" w:eastAsia="宋体" w:cs="Times New Roman"/>
                <w:shd w:val="clear" w:color="auto" w:fill="FFFFFF"/>
                <w:vertAlign w:val="superscript"/>
              </w:rPr>
              <w:t>3</w:t>
            </w:r>
            <w:r>
              <w:rPr>
                <w:rFonts w:hint="eastAsia" w:ascii="Times New Roman" w:hAnsi="Times New Roman" w:eastAsia="宋体" w:cs="Times New Roman"/>
                <w:shd w:val="clear" w:color="auto" w:fill="FFFFFF"/>
              </w:rPr>
              <w:t>+400</w:t>
            </w:r>
            <w:r>
              <w:rPr>
                <w:rFonts w:ascii="Times New Roman" w:hAnsi="Times New Roman" w:eastAsia="宋体" w:cs="Times New Roman"/>
                <w:shd w:val="clear" w:color="auto" w:fill="FFFFFF"/>
              </w:rPr>
              <w:t>m</w:t>
            </w:r>
            <w:r>
              <w:rPr>
                <w:rFonts w:ascii="Times New Roman" w:hAnsi="Times New Roman" w:eastAsia="宋体" w:cs="Times New Roman"/>
                <w:shd w:val="clear" w:color="auto" w:fill="FFFFFF"/>
                <w:vertAlign w:val="superscript"/>
              </w:rPr>
              <w:t>3</w:t>
            </w:r>
            <w:r>
              <w:rPr>
                <w:rFonts w:hint="eastAsia" w:ascii="Times New Roman" w:hAnsi="Times New Roman" w:eastAsia="宋体" w:cs="Times New Roman"/>
                <w:shd w:val="clear" w:color="auto" w:fill="FFFFFF"/>
              </w:rPr>
              <w:t>+100</w:t>
            </w:r>
            <w:r>
              <w:rPr>
                <w:rFonts w:ascii="Times New Roman" w:hAnsi="Times New Roman" w:eastAsia="宋体" w:cs="Times New Roman"/>
                <w:shd w:val="clear" w:color="auto" w:fill="FFFFFF"/>
              </w:rPr>
              <w:t>m</w:t>
            </w:r>
            <w:r>
              <w:rPr>
                <w:rFonts w:ascii="Times New Roman" w:hAnsi="Times New Roman" w:eastAsia="宋体" w:cs="Times New Roman"/>
                <w:shd w:val="clear" w:color="auto" w:fill="FFFFFF"/>
                <w:vertAlign w:val="superscript"/>
              </w:rPr>
              <w:t>3</w:t>
            </w:r>
            <w:r>
              <w:rPr>
                <w:rFonts w:ascii="Times New Roman" w:hAnsi="Times New Roman" w:eastAsia="宋体" w:cs="Times New Roman"/>
                <w:shd w:val="clear" w:color="auto" w:fill="FFFFFF"/>
              </w:rPr>
              <w:t>）</w:t>
            </w:r>
            <w:r>
              <w:rPr>
                <w:rFonts w:hint="eastAsia" w:ascii="Times New Roman" w:hAnsi="Times New Roman" w:eastAsia="宋体" w:cs="Times New Roman"/>
              </w:rPr>
              <w:t>，设置</w:t>
            </w:r>
            <w:r>
              <w:rPr>
                <w:rFonts w:ascii="Times New Roman" w:hAnsi="Times New Roman" w:eastAsia="宋体" w:cs="Times New Roman"/>
                <w:shd w:val="clear" w:color="auto" w:fill="FFFFFF"/>
              </w:rPr>
              <w:t>容积大小可满足</w:t>
            </w:r>
            <w:r>
              <w:rPr>
                <w:rFonts w:hint="eastAsia" w:ascii="Times New Roman" w:hAnsi="Times New Roman" w:eastAsia="宋体" w:cs="Times New Roman"/>
                <w:shd w:val="clear" w:color="auto" w:fill="FFFFFF"/>
              </w:rPr>
              <w:t>生产废水停留约2天时间，</w:t>
            </w:r>
            <w:r>
              <w:rPr>
                <w:rFonts w:hint="eastAsia" w:ascii="Times New Roman" w:hAnsi="Times New Roman" w:eastAsia="宋体" w:cs="Times New Roman"/>
                <w:spacing w:val="7"/>
              </w:rPr>
              <w:t>本次环评要求在最后100m</w:t>
            </w:r>
            <w:r>
              <w:rPr>
                <w:rFonts w:hint="eastAsia" w:ascii="Times New Roman" w:hAnsi="Times New Roman" w:eastAsia="宋体" w:cs="Times New Roman"/>
                <w:spacing w:val="7"/>
                <w:vertAlign w:val="superscript"/>
              </w:rPr>
              <w:t>3</w:t>
            </w:r>
            <w:r>
              <w:rPr>
                <w:rFonts w:hint="eastAsia" w:ascii="Times New Roman" w:hAnsi="Times New Roman" w:eastAsia="宋体" w:cs="Times New Roman"/>
                <w:spacing w:val="7"/>
              </w:rPr>
              <w:t>处设置加药系统，按水质情况，投加絮凝沉淀剂，缩短沉淀时间，保障废水经沉淀处理后满足生产需要</w:t>
            </w:r>
            <w:r>
              <w:rPr>
                <w:rFonts w:hint="eastAsia" w:ascii="Times New Roman" w:hAnsi="Times New Roman" w:eastAsia="宋体" w:cs="Times New Roman"/>
                <w:shd w:val="clear" w:color="auto" w:fill="FFFFFF"/>
              </w:rPr>
              <w:t>。同时考虑在成品堆放场、污泥堆放场会产生少量</w:t>
            </w:r>
            <w:r>
              <w:rPr>
                <w:rFonts w:hint="eastAsia" w:ascii="Times New Roman" w:hAnsi="Times New Roman" w:eastAsia="宋体"/>
              </w:rPr>
              <w:t>渗滤液，故在堆场旁设置收集池，收集池容积均为10m</w:t>
            </w:r>
            <w:r>
              <w:rPr>
                <w:rFonts w:hint="eastAsia" w:ascii="Times New Roman" w:hAnsi="Times New Roman" w:eastAsia="宋体"/>
                <w:vertAlign w:val="superscript"/>
              </w:rPr>
              <w:t>3</w:t>
            </w:r>
            <w:r>
              <w:rPr>
                <w:rFonts w:hint="eastAsia" w:ascii="Times New Roman" w:hAnsi="Times New Roman" w:eastAsia="宋体"/>
              </w:rPr>
              <w:t>，收集池通过管道与三级沉淀池相连，可保障生产废水全部进入三级沉淀池</w:t>
            </w:r>
            <w:r>
              <w:rPr>
                <w:rFonts w:ascii="Times New Roman" w:hAnsi="Times New Roman" w:eastAsia="宋体"/>
              </w:rPr>
              <w:t>。</w:t>
            </w:r>
            <w:r>
              <w:rPr>
                <w:rFonts w:hint="eastAsia" w:ascii="Times New Roman" w:hAnsi="Times New Roman" w:eastAsia="宋体"/>
              </w:rPr>
              <w:t>项目洗沙用水量为3000m</w:t>
            </w:r>
            <w:r>
              <w:rPr>
                <w:rFonts w:hint="eastAsia" w:ascii="Times New Roman" w:hAnsi="Times New Roman" w:eastAsia="宋体"/>
                <w:vertAlign w:val="superscript"/>
              </w:rPr>
              <w:t>3</w:t>
            </w:r>
            <w:r>
              <w:rPr>
                <w:rFonts w:hint="eastAsia" w:ascii="Times New Roman" w:hAnsi="Times New Roman" w:eastAsia="宋体"/>
              </w:rPr>
              <w:t>/d，生产废水全部回用后，仍需补充2296m</w:t>
            </w:r>
            <w:r>
              <w:rPr>
                <w:rFonts w:hint="eastAsia" w:ascii="Times New Roman" w:hAnsi="Times New Roman" w:eastAsia="宋体"/>
                <w:vertAlign w:val="superscript"/>
              </w:rPr>
              <w:t>3</w:t>
            </w:r>
            <w:r>
              <w:rPr>
                <w:rFonts w:hint="eastAsia" w:ascii="Times New Roman" w:hAnsi="Times New Roman" w:eastAsia="宋体"/>
              </w:rPr>
              <w:t>/d。</w:t>
            </w:r>
          </w:p>
          <w:p>
            <w:pPr>
              <w:adjustRightInd w:val="0"/>
              <w:snapToGrid w:val="0"/>
              <w:spacing w:line="360" w:lineRule="auto"/>
              <w:ind w:firstLine="480" w:firstLineChars="200"/>
              <w:rPr>
                <w:rFonts w:ascii="Times New Roman" w:hAnsi="Times New Roman" w:eastAsia="宋体" w:cs="Times New Roman"/>
                <w:b/>
                <w:bCs/>
                <w:sz w:val="24"/>
              </w:rPr>
            </w:pPr>
            <w:r>
              <w:rPr>
                <w:rFonts w:hint="eastAsia" w:ascii="Times New Roman" w:hAnsi="Times New Roman" w:eastAsia="宋体"/>
                <w:sz w:val="24"/>
              </w:rPr>
              <w:t>本项目</w:t>
            </w:r>
            <w:r>
              <w:rPr>
                <w:rFonts w:ascii="Times New Roman" w:hAnsi="Times New Roman" w:eastAsia="宋体"/>
                <w:sz w:val="24"/>
                <w:lang w:val="zh-CN"/>
              </w:rPr>
              <w:t>事故池容积按</w:t>
            </w:r>
            <w:r>
              <w:rPr>
                <w:rFonts w:hint="eastAsia" w:ascii="Times New Roman"/>
                <w:sz w:val="24"/>
              </w:rPr>
              <w:t>3h</w:t>
            </w:r>
            <w:r>
              <w:rPr>
                <w:rFonts w:hint="eastAsia" w:ascii="Times New Roman" w:hAnsi="Times New Roman" w:eastAsia="宋体"/>
                <w:sz w:val="24"/>
                <w:lang w:val="zh-CN"/>
              </w:rPr>
              <w:t>废水产生量</w:t>
            </w:r>
            <w:r>
              <w:rPr>
                <w:rFonts w:ascii="Times New Roman" w:hAnsi="Times New Roman" w:eastAsia="宋体"/>
                <w:sz w:val="24"/>
                <w:lang w:val="zh-CN"/>
              </w:rPr>
              <w:t>计算（按照设备检修时间</w:t>
            </w:r>
            <w:r>
              <w:rPr>
                <w:rFonts w:hint="eastAsia" w:ascii="Times New Roman"/>
                <w:sz w:val="24"/>
              </w:rPr>
              <w:t>1天</w:t>
            </w:r>
            <w:r>
              <w:rPr>
                <w:rFonts w:ascii="Times New Roman" w:hAnsi="Times New Roman" w:eastAsia="宋体"/>
                <w:sz w:val="24"/>
                <w:lang w:val="zh-CN"/>
              </w:rPr>
              <w:t>考虑），</w:t>
            </w:r>
            <w:r>
              <w:rPr>
                <w:rFonts w:hint="eastAsia" w:ascii="Times New Roman"/>
                <w:sz w:val="24"/>
              </w:rPr>
              <w:t>3h废水</w:t>
            </w:r>
            <w:r>
              <w:rPr>
                <w:rFonts w:hint="eastAsia" w:ascii="Times New Roman" w:hAnsi="Times New Roman" w:eastAsia="宋体"/>
                <w:sz w:val="24"/>
                <w:lang w:val="zh-CN"/>
              </w:rPr>
              <w:t>产生量</w:t>
            </w:r>
            <w:r>
              <w:rPr>
                <w:rFonts w:ascii="Times New Roman" w:hAnsi="Times New Roman" w:eastAsia="宋体"/>
                <w:sz w:val="24"/>
                <w:lang w:val="zh-CN"/>
              </w:rPr>
              <w:t>为</w:t>
            </w:r>
            <w:r>
              <w:rPr>
                <w:rFonts w:hint="eastAsia" w:ascii="Times New Roman"/>
                <w:sz w:val="24"/>
              </w:rPr>
              <w:t>241.5</w:t>
            </w:r>
            <w:r>
              <w:rPr>
                <w:rFonts w:ascii="Times New Roman" w:hAnsi="Times New Roman" w:eastAsia="宋体"/>
                <w:sz w:val="24"/>
                <w:lang w:val="zh-CN"/>
              </w:rPr>
              <w:t>m</w:t>
            </w:r>
            <w:r>
              <w:rPr>
                <w:rFonts w:hint="eastAsia" w:ascii="Times New Roman" w:hAnsi="Times New Roman" w:eastAsia="宋体"/>
                <w:sz w:val="24"/>
                <w:vertAlign w:val="superscript"/>
              </w:rPr>
              <w:t>3</w:t>
            </w:r>
            <w:r>
              <w:rPr>
                <w:rFonts w:ascii="Times New Roman" w:hAnsi="Times New Roman" w:eastAsia="宋体"/>
                <w:sz w:val="24"/>
                <w:lang w:val="zh-CN"/>
              </w:rPr>
              <w:t>。本次评价提出建设一座</w:t>
            </w:r>
            <w:r>
              <w:rPr>
                <w:rFonts w:hint="eastAsia" w:ascii="Times New Roman"/>
                <w:sz w:val="24"/>
              </w:rPr>
              <w:t>250</w:t>
            </w:r>
            <w:r>
              <w:rPr>
                <w:rFonts w:ascii="Times New Roman" w:hAnsi="Times New Roman" w:eastAsia="宋体"/>
                <w:sz w:val="24"/>
                <w:lang w:val="zh-CN"/>
              </w:rPr>
              <w:t>m</w:t>
            </w:r>
            <w:r>
              <w:rPr>
                <w:rFonts w:hint="eastAsia" w:ascii="Times New Roman" w:hAnsi="Times New Roman" w:eastAsia="宋体"/>
                <w:sz w:val="24"/>
                <w:vertAlign w:val="superscript"/>
              </w:rPr>
              <w:t>3</w:t>
            </w:r>
            <w:r>
              <w:rPr>
                <w:rFonts w:ascii="Times New Roman" w:hAnsi="Times New Roman" w:eastAsia="宋体"/>
                <w:sz w:val="24"/>
                <w:lang w:val="zh-CN"/>
              </w:rPr>
              <w:t>的事故池</w:t>
            </w:r>
            <w:r>
              <w:rPr>
                <w:rFonts w:hint="eastAsia" w:ascii="Times New Roman" w:hAnsi="Times New Roman" w:eastAsia="宋体"/>
                <w:sz w:val="24"/>
                <w:lang w:val="zh-CN"/>
              </w:rPr>
              <w:t>，</w:t>
            </w:r>
            <w:r>
              <w:rPr>
                <w:rFonts w:hint="eastAsia" w:ascii="Times New Roman" w:hAnsi="Times New Roman" w:eastAsia="宋体"/>
                <w:sz w:val="24"/>
              </w:rPr>
              <w:t>发生事故时立即停产检修，杜绝废水非正常排放至北桥河</w:t>
            </w:r>
            <w:r>
              <w:rPr>
                <w:rFonts w:ascii="Times New Roman" w:hAnsi="Times New Roman" w:eastAsia="宋体"/>
                <w:sz w:val="24"/>
                <w:lang w:val="zh-CN"/>
              </w:rPr>
              <w:t>。</w:t>
            </w:r>
          </w:p>
          <w:p>
            <w:pPr>
              <w:adjustRightInd w:val="0"/>
              <w:snapToGrid w:val="0"/>
              <w:spacing w:line="360" w:lineRule="auto"/>
              <w:ind w:firstLine="480" w:firstLineChars="200"/>
              <w:rPr>
                <w:rFonts w:ascii="Times New Roman" w:hAnsi="Times New Roman" w:eastAsia="宋体" w:cs="Times New Roman"/>
                <w:sz w:val="24"/>
              </w:rPr>
            </w:pPr>
            <w:r>
              <w:rPr>
                <w:rFonts w:hint="eastAsia" w:ascii="Times New Roman" w:hAnsi="Times New Roman" w:eastAsia="宋体"/>
                <w:sz w:val="24"/>
              </w:rPr>
              <w:t>本项目</w:t>
            </w:r>
            <w:r>
              <w:rPr>
                <w:rFonts w:hint="eastAsia" w:ascii="Times New Roman" w:hAnsi="Times New Roman" w:eastAsia="宋体"/>
                <w:sz w:val="24"/>
                <w:lang w:val="zh-CN"/>
              </w:rPr>
              <w:t>初期雨水收集池</w:t>
            </w:r>
            <w:r>
              <w:rPr>
                <w:rFonts w:ascii="Times New Roman" w:hAnsi="Times New Roman" w:eastAsia="宋体"/>
                <w:sz w:val="24"/>
                <w:lang w:val="zh-CN"/>
              </w:rPr>
              <w:t>容积按</w:t>
            </w:r>
            <w:r>
              <w:rPr>
                <w:rFonts w:hint="eastAsia" w:ascii="Times New Roman"/>
                <w:sz w:val="24"/>
              </w:rPr>
              <w:t>1次</w:t>
            </w:r>
            <w:r>
              <w:rPr>
                <w:rFonts w:hint="eastAsia" w:ascii="Times New Roman" w:hAnsi="Times New Roman" w:eastAsia="宋体"/>
                <w:sz w:val="24"/>
                <w:lang w:val="zh-CN"/>
              </w:rPr>
              <w:t>初期雨水产生量</w:t>
            </w:r>
            <w:r>
              <w:rPr>
                <w:rFonts w:ascii="Times New Roman" w:hAnsi="Times New Roman" w:eastAsia="宋体"/>
                <w:sz w:val="24"/>
                <w:lang w:val="zh-CN"/>
              </w:rPr>
              <w:t>计算（按照设备检修时间</w:t>
            </w:r>
            <w:r>
              <w:rPr>
                <w:rFonts w:hint="eastAsia" w:ascii="Times New Roman"/>
                <w:sz w:val="24"/>
              </w:rPr>
              <w:t>1天</w:t>
            </w:r>
            <w:r>
              <w:rPr>
                <w:rFonts w:ascii="Times New Roman" w:hAnsi="Times New Roman" w:eastAsia="宋体"/>
                <w:sz w:val="24"/>
                <w:lang w:val="zh-CN"/>
              </w:rPr>
              <w:t>考虑），</w:t>
            </w:r>
            <w:r>
              <w:rPr>
                <w:rFonts w:hint="eastAsia" w:ascii="Times New Roman" w:hAnsi="Times New Roman" w:eastAsia="宋体"/>
                <w:sz w:val="24"/>
                <w:lang w:val="zh-CN"/>
              </w:rPr>
              <w:t>初期雨水</w:t>
            </w:r>
            <w:r>
              <w:rPr>
                <w:rFonts w:hint="eastAsia" w:ascii="Times New Roman"/>
                <w:sz w:val="24"/>
              </w:rPr>
              <w:t>1次</w:t>
            </w:r>
            <w:r>
              <w:rPr>
                <w:rFonts w:hint="eastAsia" w:ascii="Times New Roman" w:hAnsi="Times New Roman" w:eastAsia="宋体"/>
                <w:sz w:val="24"/>
                <w:lang w:val="zh-CN"/>
              </w:rPr>
              <w:t>产生量</w:t>
            </w:r>
            <w:r>
              <w:rPr>
                <w:rFonts w:ascii="Times New Roman" w:hAnsi="Times New Roman" w:eastAsia="宋体"/>
                <w:sz w:val="24"/>
                <w:lang w:val="zh-CN"/>
              </w:rPr>
              <w:t>为</w:t>
            </w:r>
            <w:r>
              <w:rPr>
                <w:rFonts w:hint="eastAsia" w:ascii="Times New Roman"/>
                <w:sz w:val="24"/>
              </w:rPr>
              <w:t>77.93</w:t>
            </w:r>
            <w:r>
              <w:rPr>
                <w:rFonts w:ascii="Times New Roman" w:hAnsi="Times New Roman" w:eastAsia="宋体"/>
                <w:sz w:val="24"/>
                <w:lang w:val="zh-CN"/>
              </w:rPr>
              <w:t>m</w:t>
            </w:r>
            <w:r>
              <w:rPr>
                <w:rFonts w:hint="eastAsia" w:ascii="Times New Roman" w:hAnsi="Times New Roman" w:eastAsia="宋体"/>
                <w:sz w:val="24"/>
                <w:vertAlign w:val="superscript"/>
              </w:rPr>
              <w:t>3</w:t>
            </w:r>
            <w:r>
              <w:rPr>
                <w:rFonts w:ascii="Times New Roman" w:hAnsi="Times New Roman" w:eastAsia="宋体"/>
                <w:sz w:val="24"/>
                <w:lang w:val="zh-CN"/>
              </w:rPr>
              <w:t>。本次评价提出建设一座</w:t>
            </w:r>
            <w:r>
              <w:rPr>
                <w:rFonts w:hint="eastAsia" w:ascii="Times New Roman" w:hAnsi="Times New Roman" w:eastAsia="宋体"/>
                <w:sz w:val="24"/>
              </w:rPr>
              <w:t>10</w:t>
            </w:r>
            <w:r>
              <w:rPr>
                <w:rFonts w:hint="eastAsia" w:ascii="Times New Roman"/>
                <w:sz w:val="24"/>
              </w:rPr>
              <w:t>0</w:t>
            </w:r>
            <w:r>
              <w:rPr>
                <w:rFonts w:ascii="Times New Roman" w:hAnsi="Times New Roman" w:eastAsia="宋体"/>
                <w:sz w:val="24"/>
                <w:lang w:val="zh-CN"/>
              </w:rPr>
              <w:t>m</w:t>
            </w:r>
            <w:r>
              <w:rPr>
                <w:rFonts w:hint="eastAsia" w:ascii="Times New Roman" w:hAnsi="Times New Roman" w:eastAsia="宋体"/>
                <w:sz w:val="24"/>
                <w:vertAlign w:val="superscript"/>
              </w:rPr>
              <w:t>3</w:t>
            </w:r>
            <w:r>
              <w:rPr>
                <w:rFonts w:ascii="Times New Roman" w:hAnsi="Times New Roman" w:eastAsia="宋体"/>
                <w:sz w:val="24"/>
                <w:lang w:val="zh-CN"/>
              </w:rPr>
              <w:t>的</w:t>
            </w:r>
            <w:r>
              <w:rPr>
                <w:rFonts w:hint="eastAsia" w:ascii="Times New Roman" w:hAnsi="Times New Roman" w:eastAsia="宋体"/>
                <w:sz w:val="24"/>
                <w:lang w:val="zh-CN"/>
              </w:rPr>
              <w:t>初期雨水收集池</w:t>
            </w:r>
            <w:r>
              <w:rPr>
                <w:rFonts w:ascii="Times New Roman" w:hAnsi="Times New Roman" w:eastAsia="宋体"/>
                <w:sz w:val="24"/>
                <w:lang w:val="zh-CN"/>
              </w:rPr>
              <w:t>，容积满足</w:t>
            </w:r>
            <w:r>
              <w:rPr>
                <w:rFonts w:hint="eastAsia" w:ascii="Times New Roman" w:hAnsi="Times New Roman" w:eastAsia="宋体"/>
                <w:sz w:val="24"/>
                <w:lang w:val="zh-CN"/>
              </w:rPr>
              <w:t>初期雨水</w:t>
            </w:r>
            <w:r>
              <w:rPr>
                <w:rFonts w:ascii="Times New Roman" w:hAnsi="Times New Roman" w:eastAsia="宋体"/>
                <w:sz w:val="24"/>
                <w:lang w:val="zh-CN"/>
              </w:rPr>
              <w:t>暂存需要</w:t>
            </w:r>
            <w:r>
              <w:rPr>
                <w:rFonts w:hint="eastAsia" w:ascii="Times New Roman" w:hAnsi="Times New Roman" w:eastAsia="宋体"/>
                <w:sz w:val="24"/>
                <w:lang w:val="zh-CN"/>
              </w:rPr>
              <w:t>。</w:t>
            </w:r>
          </w:p>
          <w:p>
            <w:pPr>
              <w:adjustRightInd w:val="0"/>
              <w:snapToGrid w:val="0"/>
              <w:spacing w:line="360" w:lineRule="auto"/>
              <w:ind w:firstLine="480" w:firstLineChars="200"/>
              <w:rPr>
                <w:rFonts w:ascii="Times New Roman" w:hAnsi="Times New Roman" w:eastAsia="宋体" w:cs="Times New Roman"/>
                <w:sz w:val="24"/>
                <w:shd w:val="clear" w:color="auto" w:fill="FFFFFF"/>
              </w:rPr>
            </w:pPr>
            <w:r>
              <w:rPr>
                <w:rFonts w:hint="eastAsia" w:ascii="Times New Roman" w:hAnsi="Times New Roman" w:eastAsia="宋体" w:cs="Times New Roman"/>
                <w:sz w:val="24"/>
                <w:shd w:val="clear" w:color="auto" w:fill="FFFFFF"/>
              </w:rPr>
              <w:t>综上，本项目废水可以做到全部回用不外排是可行的。</w:t>
            </w:r>
          </w:p>
          <w:p>
            <w:pPr>
              <w:pStyle w:val="67"/>
              <w:adjustRightInd w:val="0"/>
              <w:snapToGrid w:val="0"/>
              <w:spacing w:before="0" w:after="0" w:line="360" w:lineRule="auto"/>
              <w:ind w:firstLine="482" w:firstLineChars="200"/>
              <w:jc w:val="both"/>
              <w:rPr>
                <w:rFonts w:ascii="Times New Roman" w:hAnsi="Times New Roman" w:cs="Times New Roman"/>
                <w:sz w:val="24"/>
                <w:lang w:val="en-US" w:eastAsia="zh-CN"/>
              </w:rPr>
            </w:pPr>
            <w:r>
              <w:rPr>
                <w:rFonts w:ascii="Times New Roman" w:hAnsi="Times New Roman" w:cs="Times New Roman"/>
                <w:b/>
                <w:bCs/>
                <w:sz w:val="24"/>
                <w:lang w:val="en-US" w:eastAsia="zh-CN"/>
              </w:rPr>
              <w:t>4、入河排污口设置简要分析</w:t>
            </w:r>
          </w:p>
          <w:p>
            <w:pPr>
              <w:pStyle w:val="68"/>
              <w:spacing w:before="0" w:beforeLines="0" w:after="0" w:afterLines="0" w:line="360" w:lineRule="auto"/>
              <w:ind w:firstLine="496" w:firstLineChars="200"/>
              <w:rPr>
                <w:rFonts w:ascii="Times New Roman" w:hAnsi="Times New Roman" w:eastAsia="宋体" w:cs="Times New Roman"/>
              </w:rPr>
            </w:pPr>
            <w:r>
              <w:rPr>
                <w:rFonts w:ascii="Times New Roman" w:hAnsi="Times New Roman" w:eastAsia="宋体" w:cs="Times New Roman"/>
              </w:rPr>
              <w:t>根据《云南省生态环境厅关于进一步加强入河排污口环境管理工作的通知》（云环通〔2021〕98号）、临沧市生态环境局关于深入开展入河排污口设置审核工作的通知》（临环发〔2022〕10号）等有关规定的要求，临沧市辖区范围内新建、改建、扩建的工矿企业《建设项目环境影响报告表》废水入河排放需进行入河排污口设置简要分析。</w:t>
            </w:r>
          </w:p>
          <w:p>
            <w:pPr>
              <w:pStyle w:val="68"/>
              <w:spacing w:before="0" w:beforeLines="0" w:after="0" w:afterLines="0" w:line="360" w:lineRule="auto"/>
              <w:ind w:firstLine="496" w:firstLineChars="200"/>
              <w:rPr>
                <w:rFonts w:ascii="Times New Roman" w:hAnsi="Times New Roman" w:eastAsia="宋体" w:cs="Times New Roman"/>
                <w:b/>
                <w:bCs/>
                <w:lang w:bidi="ar"/>
              </w:rPr>
            </w:pPr>
            <w:r>
              <w:rPr>
                <w:rFonts w:hint="eastAsia" w:ascii="Times New Roman" w:hAnsi="Times New Roman" w:eastAsia="宋体" w:cs="Times New Roman"/>
              </w:rPr>
              <w:t>生产废水</w:t>
            </w:r>
            <w:r>
              <w:rPr>
                <w:rFonts w:ascii="Times New Roman" w:hAnsi="Times New Roman" w:eastAsia="宋体" w:cs="Times New Roman"/>
              </w:rPr>
              <w:t>经</w:t>
            </w:r>
            <w:r>
              <w:rPr>
                <w:rFonts w:ascii="Times New Roman" w:hAnsi="Times New Roman" w:eastAsia="宋体" w:cs="Times New Roman"/>
                <w:shd w:val="clear" w:color="auto" w:fill="FFFFFF"/>
              </w:rPr>
              <w:t>1个</w:t>
            </w:r>
            <w:r>
              <w:rPr>
                <w:rFonts w:hint="eastAsia" w:ascii="Times New Roman" w:hAnsi="Times New Roman" w:eastAsia="宋体" w:cs="Times New Roman"/>
                <w:shd w:val="clear" w:color="auto" w:fill="FFFFFF"/>
              </w:rPr>
              <w:t>三级沉淀池</w:t>
            </w:r>
            <w:r>
              <w:rPr>
                <w:rFonts w:ascii="Times New Roman" w:hAnsi="Times New Roman" w:eastAsia="宋体" w:cs="Times New Roman"/>
                <w:shd w:val="clear" w:color="auto" w:fill="FFFFFF"/>
              </w:rPr>
              <w:t>（容积为</w:t>
            </w:r>
            <w:r>
              <w:rPr>
                <w:rFonts w:hint="eastAsia" w:ascii="Times New Roman" w:hAnsi="Times New Roman" w:eastAsia="宋体" w:cs="Times New Roman"/>
                <w:shd w:val="clear" w:color="auto" w:fill="FFFFFF"/>
              </w:rPr>
              <w:t>1500</w:t>
            </w:r>
            <w:r>
              <w:rPr>
                <w:rFonts w:ascii="Times New Roman" w:hAnsi="Times New Roman" w:eastAsia="宋体" w:cs="Times New Roman"/>
                <w:shd w:val="clear" w:color="auto" w:fill="FFFFFF"/>
              </w:rPr>
              <w:t>m</w:t>
            </w:r>
            <w:r>
              <w:rPr>
                <w:rFonts w:ascii="Times New Roman" w:hAnsi="Times New Roman" w:eastAsia="宋体" w:cs="Times New Roman"/>
                <w:shd w:val="clear" w:color="auto" w:fill="FFFFFF"/>
                <w:vertAlign w:val="superscript"/>
              </w:rPr>
              <w:t>3</w:t>
            </w:r>
            <w:r>
              <w:rPr>
                <w:rFonts w:ascii="Times New Roman" w:hAnsi="Times New Roman" w:eastAsia="宋体" w:cs="Times New Roman"/>
                <w:shd w:val="clear" w:color="auto" w:fill="FFFFFF"/>
              </w:rPr>
              <w:t>）</w:t>
            </w:r>
            <w:r>
              <w:rPr>
                <w:rFonts w:hint="eastAsia" w:ascii="Times New Roman" w:hAnsi="Times New Roman" w:eastAsia="宋体" w:cs="Times New Roman"/>
                <w:shd w:val="clear" w:color="auto" w:fill="FFFFFF"/>
              </w:rPr>
              <w:t>沉淀</w:t>
            </w:r>
            <w:r>
              <w:rPr>
                <w:rFonts w:ascii="Times New Roman" w:hAnsi="Times New Roman" w:eastAsia="宋体" w:cs="Times New Roman"/>
                <w:shd w:val="clear" w:color="auto" w:fill="FFFFFF"/>
              </w:rPr>
              <w:t>处理</w:t>
            </w:r>
            <w:r>
              <w:rPr>
                <w:rFonts w:hint="eastAsia" w:ascii="Times New Roman" w:hAnsi="Times New Roman" w:eastAsia="宋体" w:cs="Times New Roman"/>
                <w:shd w:val="clear" w:color="auto" w:fill="FFFFFF"/>
              </w:rPr>
              <w:t>后</w:t>
            </w:r>
            <w:r>
              <w:rPr>
                <w:rFonts w:ascii="Times New Roman" w:hAnsi="Times New Roman" w:eastAsia="宋体" w:cs="Times New Roman"/>
              </w:rPr>
              <w:t>循环使用，不外排；生活污水</w:t>
            </w:r>
            <w:r>
              <w:rPr>
                <w:rFonts w:hint="eastAsia" w:ascii="Times New Roman" w:hAnsi="Times New Roman" w:eastAsia="宋体" w:cs="Times New Roman"/>
              </w:rPr>
              <w:t>经</w:t>
            </w:r>
            <w:r>
              <w:rPr>
                <w:rFonts w:ascii="Times New Roman" w:hAnsi="Times New Roman" w:eastAsia="宋体" w:cs="Times New Roman"/>
              </w:rPr>
              <w:t>化粪池处理后，</w:t>
            </w:r>
            <w:r>
              <w:rPr>
                <w:rFonts w:hint="eastAsia" w:ascii="Times New Roman" w:cs="Times New Roman"/>
              </w:rPr>
              <w:t>委托当地居民清掏用作农肥使用</w:t>
            </w:r>
            <w:r>
              <w:rPr>
                <w:rFonts w:ascii="Times New Roman" w:hAnsi="Times New Roman" w:eastAsia="宋体" w:cs="Times New Roman"/>
              </w:rPr>
              <w:t>。故本项目运营期间产生的废水</w:t>
            </w:r>
            <w:r>
              <w:rPr>
                <w:rFonts w:hint="eastAsia" w:ascii="Times New Roman" w:hAnsi="Times New Roman" w:eastAsia="宋体" w:cs="Times New Roman"/>
              </w:rPr>
              <w:t>不</w:t>
            </w:r>
            <w:r>
              <w:rPr>
                <w:rFonts w:ascii="Times New Roman" w:hAnsi="Times New Roman" w:eastAsia="宋体" w:cs="Times New Roman"/>
              </w:rPr>
              <w:t>外排，不需要开展入河排污口设置简要分析。</w:t>
            </w:r>
          </w:p>
          <w:p>
            <w:pPr>
              <w:adjustRightInd w:val="0"/>
              <w:snapToGrid w:val="0"/>
              <w:spacing w:line="360" w:lineRule="auto"/>
              <w:ind w:firstLine="482" w:firstLineChars="200"/>
              <w:rPr>
                <w:rFonts w:ascii="Times New Roman" w:hAnsi="Times New Roman" w:eastAsia="宋体" w:cs="Times New Roman"/>
                <w:b/>
                <w:bCs/>
                <w:sz w:val="24"/>
                <w:lang w:bidi="ar"/>
              </w:rPr>
            </w:pPr>
            <w:r>
              <w:rPr>
                <w:rFonts w:ascii="Times New Roman" w:hAnsi="Times New Roman" w:eastAsia="宋体" w:cs="Times New Roman"/>
                <w:b/>
                <w:bCs/>
                <w:sz w:val="24"/>
                <w:lang w:bidi="ar"/>
              </w:rPr>
              <w:t>5、</w:t>
            </w:r>
            <w:r>
              <w:rPr>
                <w:rFonts w:hint="eastAsia" w:ascii="Times New Roman" w:hAnsi="Times New Roman" w:eastAsia="宋体" w:cs="Times New Roman"/>
                <w:b/>
                <w:bCs/>
                <w:sz w:val="24"/>
                <w:lang w:bidi="ar"/>
              </w:rPr>
              <w:t>生产废水非正常排放对北桥河的影响分析</w:t>
            </w:r>
          </w:p>
          <w:p>
            <w:pPr>
              <w:spacing w:line="360" w:lineRule="auto"/>
              <w:ind w:firstLine="480" w:firstLineChars="200"/>
              <w:rPr>
                <w:rFonts w:ascii="Times New Roman" w:hAnsi="Times New Roman" w:eastAsia="宋体"/>
                <w:sz w:val="24"/>
                <w:lang w:val="zh-CN"/>
              </w:rPr>
            </w:pPr>
            <w:r>
              <w:rPr>
                <w:rFonts w:ascii="Times New Roman" w:hAnsi="Times New Roman" w:eastAsia="宋体"/>
                <w:sz w:val="24"/>
                <w:lang w:val="zh-CN"/>
              </w:rPr>
              <w:t>当项目区</w:t>
            </w:r>
            <w:r>
              <w:rPr>
                <w:rFonts w:hint="eastAsia" w:ascii="Times New Roman" w:hAnsi="Times New Roman" w:eastAsia="宋体"/>
                <w:sz w:val="24"/>
                <w:lang w:val="zh-CN"/>
              </w:rPr>
              <w:t>三级沉淀池</w:t>
            </w:r>
            <w:r>
              <w:rPr>
                <w:rFonts w:ascii="Times New Roman" w:hAnsi="Times New Roman" w:eastAsia="宋体"/>
                <w:sz w:val="24"/>
                <w:lang w:val="zh-CN"/>
              </w:rPr>
              <w:t>出现</w:t>
            </w:r>
            <w:r>
              <w:rPr>
                <w:rFonts w:hint="eastAsia" w:ascii="Times New Roman" w:hAnsi="Times New Roman" w:eastAsia="宋体"/>
                <w:sz w:val="24"/>
                <w:lang w:val="zh-CN"/>
              </w:rPr>
              <w:t>倒塌或大面积炸裂</w:t>
            </w:r>
            <w:r>
              <w:rPr>
                <w:rFonts w:ascii="Times New Roman" w:hAnsi="Times New Roman" w:eastAsia="宋体"/>
                <w:sz w:val="24"/>
                <w:lang w:val="zh-CN"/>
              </w:rPr>
              <w:t>，</w:t>
            </w:r>
            <w:r>
              <w:rPr>
                <w:rFonts w:hint="eastAsia" w:ascii="Times New Roman" w:hAnsi="Times New Roman" w:eastAsia="宋体"/>
                <w:sz w:val="24"/>
                <w:lang w:val="zh-CN"/>
              </w:rPr>
              <w:t>会导致大量生产废水沿地势流向进入北桥河</w:t>
            </w:r>
            <w:r>
              <w:rPr>
                <w:rFonts w:ascii="Times New Roman" w:hAnsi="Times New Roman" w:eastAsia="宋体"/>
                <w:sz w:val="24"/>
                <w:lang w:val="zh-CN"/>
              </w:rPr>
              <w:t>，最不利情况下发生非正常排放时，项目废水将全部流入</w:t>
            </w:r>
            <w:r>
              <w:rPr>
                <w:rFonts w:hint="eastAsia" w:ascii="Times New Roman" w:hAnsi="Times New Roman" w:eastAsia="宋体"/>
                <w:sz w:val="24"/>
              </w:rPr>
              <w:t>南汀河</w:t>
            </w:r>
            <w:r>
              <w:rPr>
                <w:rFonts w:ascii="Times New Roman" w:hAnsi="Times New Roman" w:eastAsia="宋体"/>
                <w:sz w:val="24"/>
                <w:lang w:val="zh-CN"/>
              </w:rPr>
              <w:t>内。</w:t>
            </w:r>
            <w:r>
              <w:rPr>
                <w:rFonts w:hint="eastAsia" w:ascii="Times New Roman" w:hAnsi="Times New Roman" w:eastAsia="宋体"/>
                <w:sz w:val="24"/>
                <w:lang w:val="zh-CN"/>
              </w:rPr>
              <w:t>发生事故时</w:t>
            </w:r>
            <w:r>
              <w:rPr>
                <w:rFonts w:ascii="Times New Roman" w:hAnsi="Times New Roman" w:eastAsia="宋体"/>
                <w:sz w:val="24"/>
                <w:lang w:val="zh-CN"/>
              </w:rPr>
              <w:t>项目应立即停止生产，把项目废水全部引入事故池，并安排相关的技术人员对</w:t>
            </w:r>
            <w:r>
              <w:rPr>
                <w:rFonts w:hint="eastAsia" w:ascii="Times New Roman" w:hAnsi="Times New Roman" w:eastAsia="宋体"/>
                <w:sz w:val="24"/>
                <w:lang w:val="zh-CN"/>
              </w:rPr>
              <w:t>池体进行修复</w:t>
            </w:r>
            <w:r>
              <w:rPr>
                <w:rFonts w:ascii="Times New Roman" w:hAnsi="Times New Roman" w:eastAsia="宋体"/>
                <w:sz w:val="24"/>
                <w:lang w:val="zh-CN"/>
              </w:rPr>
              <w:t>。待</w:t>
            </w:r>
            <w:r>
              <w:rPr>
                <w:rFonts w:hint="eastAsia" w:ascii="Times New Roman" w:hAnsi="Times New Roman" w:eastAsia="宋体"/>
                <w:sz w:val="24"/>
                <w:lang w:val="zh-CN"/>
              </w:rPr>
              <w:t>池体修复</w:t>
            </w:r>
            <w:r>
              <w:rPr>
                <w:rFonts w:ascii="Times New Roman" w:hAnsi="Times New Roman" w:eastAsia="宋体"/>
                <w:sz w:val="24"/>
                <w:lang w:val="zh-CN"/>
              </w:rPr>
              <w:t>后，把事故池的事故废水</w:t>
            </w:r>
            <w:r>
              <w:rPr>
                <w:rFonts w:hint="eastAsia" w:ascii="Times New Roman" w:hAnsi="Times New Roman" w:eastAsia="宋体"/>
                <w:sz w:val="24"/>
                <w:lang w:val="zh-CN"/>
              </w:rPr>
              <w:t>抽至三级沉淀池处置</w:t>
            </w:r>
            <w:r>
              <w:rPr>
                <w:rFonts w:ascii="Times New Roman" w:hAnsi="Times New Roman" w:eastAsia="宋体"/>
                <w:sz w:val="24"/>
                <w:lang w:val="zh-CN"/>
              </w:rPr>
              <w:t>。</w:t>
            </w:r>
          </w:p>
          <w:p>
            <w:pPr>
              <w:spacing w:line="360" w:lineRule="auto"/>
              <w:ind w:firstLine="480" w:firstLineChars="200"/>
              <w:rPr>
                <w:rFonts w:ascii="Times New Roman" w:hAnsi="Times New Roman" w:eastAsia="宋体"/>
                <w:sz w:val="24"/>
              </w:rPr>
            </w:pPr>
            <w:r>
              <w:rPr>
                <w:rFonts w:hint="eastAsia" w:ascii="Times New Roman" w:hAnsi="Times New Roman" w:eastAsia="宋体"/>
                <w:sz w:val="24"/>
              </w:rPr>
              <w:t>为了预防废水非正常排放，本环评提出以下措施：</w:t>
            </w:r>
          </w:p>
          <w:p>
            <w:pPr>
              <w:spacing w:line="360" w:lineRule="auto"/>
              <w:ind w:firstLine="480" w:firstLineChars="200"/>
              <w:rPr>
                <w:rFonts w:ascii="Times New Roman" w:hAnsi="Times New Roman" w:eastAsia="宋体"/>
                <w:sz w:val="24"/>
              </w:rPr>
            </w:pPr>
            <w:r>
              <w:rPr>
                <w:rFonts w:hint="eastAsia" w:ascii="Times New Roman" w:hAnsi="Times New Roman" w:eastAsia="宋体"/>
                <w:sz w:val="24"/>
              </w:rPr>
              <w:t>①对污水处理设备及管道定期检查；</w:t>
            </w:r>
          </w:p>
          <w:p>
            <w:pPr>
              <w:spacing w:line="360" w:lineRule="auto"/>
              <w:ind w:firstLine="480" w:firstLineChars="200"/>
              <w:rPr>
                <w:rFonts w:ascii="Times New Roman" w:hAnsi="Times New Roman" w:eastAsia="宋体"/>
                <w:sz w:val="24"/>
              </w:rPr>
            </w:pPr>
            <w:r>
              <w:rPr>
                <w:rFonts w:hint="eastAsia" w:ascii="Times New Roman" w:hAnsi="Times New Roman" w:eastAsia="宋体"/>
                <w:sz w:val="24"/>
              </w:rPr>
              <w:t>②确保事故应急池一直处于空置状态，事故应急池需配备2</w:t>
            </w:r>
            <w:r>
              <w:rPr>
                <w:rFonts w:hint="eastAsia" w:ascii="Times New Roman" w:hAnsi="Times New Roman" w:eastAsia="宋体"/>
                <w:sz w:val="24"/>
                <w:lang w:eastAsia="zh-CN"/>
              </w:rPr>
              <w:t>台</w:t>
            </w:r>
            <w:r>
              <w:rPr>
                <w:rFonts w:hint="eastAsia" w:ascii="Times New Roman" w:hAnsi="Times New Roman" w:eastAsia="宋体"/>
                <w:sz w:val="24"/>
              </w:rPr>
              <w:t>应急泵，一备一用；</w:t>
            </w:r>
          </w:p>
          <w:p>
            <w:pPr>
              <w:spacing w:line="360" w:lineRule="auto"/>
              <w:ind w:firstLine="480" w:firstLineChars="200"/>
              <w:rPr>
                <w:rFonts w:ascii="Times New Roman" w:hAnsi="Times New Roman" w:eastAsia="宋体"/>
                <w:sz w:val="24"/>
              </w:rPr>
            </w:pPr>
            <w:r>
              <w:rPr>
                <w:rFonts w:hint="eastAsia" w:ascii="Times New Roman" w:hAnsi="Times New Roman" w:eastAsia="宋体"/>
                <w:sz w:val="24"/>
              </w:rPr>
              <w:t>③安排专人负责污水处理系统的管理，时刻关注设备运行状态；</w:t>
            </w:r>
          </w:p>
          <w:p>
            <w:pPr>
              <w:spacing w:line="360" w:lineRule="auto"/>
              <w:ind w:firstLine="480" w:firstLineChars="200"/>
              <w:rPr>
                <w:rFonts w:ascii="Times New Roman" w:hAnsi="Times New Roman" w:eastAsia="宋体"/>
                <w:sz w:val="24"/>
              </w:rPr>
            </w:pPr>
            <w:r>
              <w:rPr>
                <w:rFonts w:hint="eastAsia" w:ascii="Times New Roman" w:hAnsi="Times New Roman" w:eastAsia="宋体"/>
                <w:sz w:val="24"/>
              </w:rPr>
              <w:t>④编制突发环境事件应急预案，并向临沧市生态环境局云县分局备案。</w:t>
            </w:r>
          </w:p>
          <w:p>
            <w:pPr>
              <w:adjustRightInd w:val="0"/>
              <w:snapToGrid w:val="0"/>
              <w:spacing w:line="360" w:lineRule="auto"/>
              <w:ind w:firstLine="482" w:firstLineChars="200"/>
              <w:rPr>
                <w:rFonts w:ascii="Times New Roman" w:hAnsi="Times New Roman" w:eastAsia="宋体" w:cs="Times New Roman"/>
                <w:b/>
                <w:bCs/>
                <w:sz w:val="24"/>
              </w:rPr>
            </w:pPr>
            <w:r>
              <w:rPr>
                <w:rFonts w:hint="eastAsia" w:ascii="Times New Roman" w:hAnsi="Times New Roman" w:eastAsia="宋体" w:cs="Times New Roman"/>
                <w:b/>
                <w:bCs/>
                <w:sz w:val="24"/>
                <w:lang w:bidi="ar"/>
              </w:rPr>
              <w:t>6</w:t>
            </w:r>
            <w:r>
              <w:rPr>
                <w:rFonts w:ascii="Times New Roman" w:hAnsi="Times New Roman" w:eastAsia="宋体" w:cs="Times New Roman"/>
                <w:b/>
                <w:bCs/>
                <w:sz w:val="24"/>
                <w:lang w:bidi="ar"/>
              </w:rPr>
              <w:t>、地表水环境影响分析小结</w:t>
            </w:r>
          </w:p>
          <w:p>
            <w:pPr>
              <w:pStyle w:val="18"/>
              <w:adjustRightInd w:val="0"/>
              <w:snapToGrid w:val="0"/>
              <w:spacing w:line="360" w:lineRule="auto"/>
              <w:ind w:firstLine="480" w:firstLineChars="200"/>
              <w:rPr>
                <w:rFonts w:ascii="Times New Roman" w:hAnsi="Times New Roman" w:eastAsia="宋体" w:cs="Times New Roman"/>
                <w:sz w:val="24"/>
                <w:lang w:bidi="ar"/>
              </w:rPr>
            </w:pPr>
            <w:r>
              <w:rPr>
                <w:rFonts w:ascii="Times New Roman" w:hAnsi="Times New Roman" w:eastAsia="宋体" w:cs="Times New Roman"/>
                <w:sz w:val="24"/>
              </w:rPr>
              <w:t>项目实行雨污分流。雨水</w:t>
            </w:r>
            <w:r>
              <w:rPr>
                <w:rFonts w:hint="eastAsia" w:ascii="Times New Roman" w:hAnsi="Times New Roman" w:eastAsia="宋体" w:cs="Times New Roman"/>
                <w:sz w:val="24"/>
              </w:rPr>
              <w:t>经</w:t>
            </w:r>
            <w:r>
              <w:rPr>
                <w:rFonts w:ascii="Times New Roman" w:hAnsi="Times New Roman" w:eastAsia="宋体" w:cs="Times New Roman"/>
                <w:sz w:val="24"/>
              </w:rPr>
              <w:t>雨污分流系统进入初期雨水</w:t>
            </w:r>
            <w:r>
              <w:rPr>
                <w:rFonts w:hint="eastAsia" w:ascii="Times New Roman" w:hAnsi="Times New Roman" w:eastAsia="宋体" w:cs="Times New Roman"/>
                <w:sz w:val="24"/>
              </w:rPr>
              <w:t>收集池，前15分钟雨水回用于生产，其余雨水经雨水沟进入北桥河</w:t>
            </w:r>
            <w:r>
              <w:rPr>
                <w:rFonts w:ascii="Times New Roman" w:hAnsi="Times New Roman" w:eastAsia="宋体" w:cs="Times New Roman"/>
                <w:sz w:val="24"/>
              </w:rPr>
              <w:t>；</w:t>
            </w:r>
            <w:r>
              <w:rPr>
                <w:rFonts w:hint="eastAsia" w:ascii="Times New Roman" w:hAnsi="Times New Roman" w:eastAsia="宋体" w:cs="Times New Roman"/>
                <w:sz w:val="24"/>
              </w:rPr>
              <w:t>生产废水</w:t>
            </w:r>
            <w:r>
              <w:rPr>
                <w:rFonts w:ascii="Times New Roman" w:hAnsi="Times New Roman" w:eastAsia="宋体" w:cs="Times New Roman"/>
                <w:sz w:val="24"/>
              </w:rPr>
              <w:t>经</w:t>
            </w:r>
            <w:r>
              <w:rPr>
                <w:rFonts w:ascii="Times New Roman" w:hAnsi="Times New Roman" w:eastAsia="宋体" w:cs="Times New Roman"/>
                <w:sz w:val="24"/>
                <w:shd w:val="clear" w:color="auto" w:fill="FFFFFF"/>
              </w:rPr>
              <w:t>1个</w:t>
            </w:r>
            <w:r>
              <w:rPr>
                <w:rFonts w:hint="eastAsia" w:ascii="Times New Roman" w:hAnsi="Times New Roman" w:eastAsia="宋体" w:cs="Times New Roman"/>
                <w:sz w:val="24"/>
                <w:shd w:val="clear" w:color="auto" w:fill="FFFFFF"/>
              </w:rPr>
              <w:t>三级沉淀池</w:t>
            </w:r>
            <w:r>
              <w:rPr>
                <w:rFonts w:ascii="Times New Roman" w:hAnsi="Times New Roman" w:eastAsia="宋体" w:cs="Times New Roman"/>
                <w:sz w:val="24"/>
                <w:shd w:val="clear" w:color="auto" w:fill="FFFFFF"/>
              </w:rPr>
              <w:t>（容积为</w:t>
            </w:r>
            <w:r>
              <w:rPr>
                <w:rFonts w:hint="eastAsia" w:ascii="Times New Roman" w:hAnsi="Times New Roman" w:eastAsia="宋体" w:cs="Times New Roman"/>
                <w:sz w:val="24"/>
                <w:shd w:val="clear" w:color="auto" w:fill="FFFFFF"/>
              </w:rPr>
              <w:t>1500</w:t>
            </w:r>
            <w:r>
              <w:rPr>
                <w:rFonts w:ascii="Times New Roman" w:hAnsi="Times New Roman" w:eastAsia="宋体" w:cs="Times New Roman"/>
                <w:sz w:val="24"/>
                <w:shd w:val="clear" w:color="auto" w:fill="FFFFFF"/>
              </w:rPr>
              <w:t>m</w:t>
            </w:r>
            <w:r>
              <w:rPr>
                <w:rFonts w:ascii="Times New Roman" w:hAnsi="Times New Roman" w:eastAsia="宋体" w:cs="Times New Roman"/>
                <w:sz w:val="24"/>
                <w:shd w:val="clear" w:color="auto" w:fill="FFFFFF"/>
                <w:vertAlign w:val="superscript"/>
              </w:rPr>
              <w:t>3</w:t>
            </w:r>
            <w:r>
              <w:rPr>
                <w:rFonts w:ascii="Times New Roman" w:hAnsi="Times New Roman" w:eastAsia="宋体" w:cs="Times New Roman"/>
                <w:sz w:val="24"/>
                <w:shd w:val="clear" w:color="auto" w:fill="FFFFFF"/>
              </w:rPr>
              <w:t>）</w:t>
            </w:r>
            <w:r>
              <w:rPr>
                <w:rFonts w:hint="eastAsia" w:ascii="Times New Roman" w:hAnsi="Times New Roman" w:eastAsia="宋体" w:cs="Times New Roman"/>
                <w:sz w:val="24"/>
                <w:shd w:val="clear" w:color="auto" w:fill="FFFFFF"/>
              </w:rPr>
              <w:t>沉淀</w:t>
            </w:r>
            <w:r>
              <w:rPr>
                <w:rFonts w:ascii="Times New Roman" w:hAnsi="Times New Roman" w:eastAsia="宋体" w:cs="Times New Roman"/>
                <w:sz w:val="24"/>
                <w:shd w:val="clear" w:color="auto" w:fill="FFFFFF"/>
              </w:rPr>
              <w:t>处理</w:t>
            </w:r>
            <w:r>
              <w:rPr>
                <w:rFonts w:hint="eastAsia" w:ascii="Times New Roman" w:hAnsi="Times New Roman" w:eastAsia="宋体" w:cs="Times New Roman"/>
                <w:sz w:val="24"/>
                <w:shd w:val="clear" w:color="auto" w:fill="FFFFFF"/>
              </w:rPr>
              <w:t>后</w:t>
            </w:r>
            <w:r>
              <w:rPr>
                <w:rFonts w:ascii="Times New Roman" w:hAnsi="Times New Roman" w:eastAsia="宋体" w:cs="Times New Roman"/>
                <w:sz w:val="24"/>
              </w:rPr>
              <w:t>循环使用，不外排；生活污水</w:t>
            </w:r>
            <w:r>
              <w:rPr>
                <w:rFonts w:hint="eastAsia" w:ascii="Times New Roman" w:hAnsi="Times New Roman" w:eastAsia="宋体" w:cs="Times New Roman"/>
                <w:sz w:val="24"/>
              </w:rPr>
              <w:t>经</w:t>
            </w:r>
            <w:r>
              <w:rPr>
                <w:rFonts w:ascii="Times New Roman" w:hAnsi="Times New Roman" w:eastAsia="宋体" w:cs="Times New Roman"/>
                <w:sz w:val="24"/>
              </w:rPr>
              <w:t>化粪池处理后，</w:t>
            </w:r>
            <w:r>
              <w:rPr>
                <w:rFonts w:hint="eastAsia" w:ascii="Times New Roman" w:cs="Times New Roman"/>
                <w:sz w:val="24"/>
              </w:rPr>
              <w:t>委托当地居民清掏用作农肥使用</w:t>
            </w:r>
            <w:r>
              <w:rPr>
                <w:rFonts w:ascii="Times New Roman" w:hAnsi="Times New Roman" w:eastAsia="宋体" w:cs="Times New Roman"/>
                <w:sz w:val="24"/>
              </w:rPr>
              <w:t>。取环评提出的相应环保措施后，</w:t>
            </w:r>
            <w:r>
              <w:rPr>
                <w:rFonts w:ascii="Times New Roman" w:hAnsi="Times New Roman" w:eastAsia="宋体" w:cs="Times New Roman"/>
                <w:sz w:val="24"/>
                <w:lang w:bidi="ar"/>
              </w:rPr>
              <w:t>对环境影响较小。</w:t>
            </w:r>
          </w:p>
          <w:p>
            <w:pPr>
              <w:adjustRightInd w:val="0"/>
              <w:snapToGrid w:val="0"/>
              <w:spacing w:line="360" w:lineRule="auto"/>
              <w:ind w:firstLine="482" w:firstLineChars="200"/>
              <w:rPr>
                <w:rFonts w:ascii="Times New Roman" w:hAnsi="Times New Roman" w:eastAsia="宋体" w:cs="Times New Roman"/>
                <w:b/>
                <w:bCs/>
                <w:sz w:val="24"/>
              </w:rPr>
            </w:pPr>
            <w:r>
              <w:rPr>
                <w:rFonts w:ascii="Times New Roman" w:hAnsi="Times New Roman" w:eastAsia="宋体" w:cs="Times New Roman"/>
                <w:b/>
                <w:bCs/>
                <w:sz w:val="24"/>
              </w:rPr>
              <w:t>三、运营期噪声环境影响和保护措施</w:t>
            </w:r>
          </w:p>
          <w:p>
            <w:pPr>
              <w:pStyle w:val="43"/>
              <w:widowControl w:val="0"/>
              <w:ind w:firstLine="482"/>
              <w:jc w:val="both"/>
              <w:rPr>
                <w:b/>
                <w:bCs/>
                <w:sz w:val="24"/>
                <w:szCs w:val="24"/>
              </w:rPr>
            </w:pPr>
            <w:r>
              <w:rPr>
                <w:b/>
                <w:bCs/>
                <w:sz w:val="24"/>
                <w:szCs w:val="24"/>
              </w:rPr>
              <w:t>1、噪声产排情况</w:t>
            </w:r>
          </w:p>
          <w:p>
            <w:pPr>
              <w:pStyle w:val="43"/>
              <w:widowControl w:val="0"/>
              <w:ind w:firstLine="482"/>
              <w:jc w:val="both"/>
              <w:rPr>
                <w:b/>
                <w:bCs/>
                <w:sz w:val="24"/>
                <w:szCs w:val="24"/>
              </w:rPr>
            </w:pPr>
            <w:r>
              <w:rPr>
                <w:b/>
                <w:bCs/>
                <w:sz w:val="24"/>
                <w:szCs w:val="24"/>
              </w:rPr>
              <w:t>（1）噪声源强分析</w:t>
            </w:r>
          </w:p>
          <w:p>
            <w:pPr>
              <w:pStyle w:val="25"/>
              <w:adjustRightInd w:val="0"/>
              <w:snapToGrid w:val="0"/>
              <w:spacing w:before="0" w:beforeAutospacing="0" w:after="0" w:afterAutospacing="0" w:line="360" w:lineRule="auto"/>
              <w:ind w:firstLine="480" w:firstLineChars="200"/>
              <w:jc w:val="both"/>
              <w:rPr>
                <w:rFonts w:ascii="Times New Roman" w:hAnsi="Times New Roman" w:eastAsia="宋体" w:cs="Times New Roman"/>
                <w:lang w:bidi="ar"/>
              </w:rPr>
            </w:pPr>
            <w:r>
              <w:rPr>
                <w:rFonts w:ascii="Times New Roman" w:hAnsi="Times New Roman" w:eastAsia="宋体" w:cs="Times New Roman"/>
                <w:lang w:bidi="ar"/>
              </w:rPr>
              <w:t>本项目运营期噪声主要为设备噪声，主要来源于</w:t>
            </w:r>
            <w:r>
              <w:rPr>
                <w:rFonts w:hint="eastAsia" w:ascii="Times New Roman" w:hAnsi="Times New Roman" w:eastAsia="宋体" w:cs="Times New Roman"/>
                <w:lang w:bidi="ar"/>
              </w:rPr>
              <w:t>车间生产设备</w:t>
            </w:r>
            <w:r>
              <w:rPr>
                <w:rFonts w:ascii="Times New Roman" w:hAnsi="Times New Roman" w:eastAsia="宋体" w:cs="Times New Roman"/>
                <w:lang w:bidi="ar"/>
              </w:rPr>
              <w:t>，其噪声级为75～90dB(A)，经过基础减震，厂房隔声，距离衰减等降噪措施处理后，其噪声级可降低15dB(A)。</w:t>
            </w:r>
            <w:r>
              <w:rPr>
                <w:rFonts w:ascii="Times New Roman" w:hAnsi="Times New Roman" w:eastAsia="宋体" w:cs="Times New Roman"/>
              </w:rPr>
              <w:t>上述设备白天作业，夜间不作业，产生的噪声为昼间间断性噪声。</w:t>
            </w:r>
            <w:r>
              <w:rPr>
                <w:rFonts w:ascii="Times New Roman" w:hAnsi="Times New Roman" w:eastAsia="宋体" w:cs="Times New Roman"/>
                <w:lang w:val="zh-CN"/>
              </w:rPr>
              <w:t>根据《环境影响评价技术导则</w:t>
            </w:r>
            <w:r>
              <w:rPr>
                <w:rFonts w:ascii="Times New Roman" w:hAnsi="Times New Roman" w:eastAsia="宋体" w:cs="Times New Roman"/>
              </w:rPr>
              <w:t>·</w:t>
            </w:r>
            <w:r>
              <w:rPr>
                <w:rFonts w:ascii="Times New Roman" w:hAnsi="Times New Roman" w:eastAsia="宋体" w:cs="Times New Roman"/>
                <w:lang w:val="zh-CN"/>
              </w:rPr>
              <w:t>声环境》（</w:t>
            </w:r>
            <w:r>
              <w:rPr>
                <w:rFonts w:ascii="Times New Roman" w:hAnsi="Times New Roman" w:eastAsia="宋体" w:cs="Times New Roman"/>
                <w:lang w:bidi="ar"/>
              </w:rPr>
              <w:t>HJ2.4-2021</w:t>
            </w:r>
            <w:r>
              <w:rPr>
                <w:rFonts w:ascii="Times New Roman" w:hAnsi="Times New Roman" w:eastAsia="宋体" w:cs="Times New Roman"/>
                <w:lang w:val="zh-CN"/>
              </w:rPr>
              <w:t>）对运营期设备噪声的环境影响进行分析。</w:t>
            </w:r>
          </w:p>
          <w:p>
            <w:pPr>
              <w:pStyle w:val="53"/>
              <w:snapToGrid w:val="0"/>
              <w:spacing w:line="240" w:lineRule="auto"/>
              <w:ind w:firstLine="0"/>
              <w:jc w:val="center"/>
              <w:textAlignment w:val="auto"/>
              <w:rPr>
                <w:rFonts w:ascii="Times New Roman" w:hAnsi="Times New Roman" w:eastAsia="宋体" w:cs="Times New Roman"/>
                <w:b/>
                <w:bCs/>
                <w:kern w:val="0"/>
                <w:sz w:val="21"/>
                <w:szCs w:val="21"/>
              </w:rPr>
            </w:pPr>
            <w:r>
              <w:rPr>
                <w:rFonts w:ascii="Times New Roman" w:hAnsi="Times New Roman" w:eastAsia="宋体" w:cs="Times New Roman"/>
                <w:b/>
                <w:bCs/>
                <w:kern w:val="0"/>
                <w:sz w:val="21"/>
                <w:szCs w:val="21"/>
              </w:rPr>
              <w:t>表4-</w:t>
            </w:r>
            <w:r>
              <w:rPr>
                <w:rFonts w:hint="eastAsia" w:ascii="Times New Roman" w:hAnsi="Times New Roman" w:eastAsia="宋体" w:cs="Times New Roman"/>
                <w:b/>
                <w:bCs/>
                <w:kern w:val="0"/>
                <w:sz w:val="21"/>
                <w:szCs w:val="21"/>
              </w:rPr>
              <w:t>11</w:t>
            </w:r>
            <w:r>
              <w:rPr>
                <w:rFonts w:ascii="Times New Roman" w:hAnsi="Times New Roman" w:eastAsia="宋体" w:cs="Times New Roman"/>
                <w:b/>
                <w:bCs/>
                <w:kern w:val="0"/>
                <w:sz w:val="21"/>
                <w:szCs w:val="21"/>
              </w:rPr>
              <w:t xml:space="preserve"> 项目噪声污染源统计表   单位：dB(A)</w:t>
            </w:r>
          </w:p>
          <w:tbl>
            <w:tblPr>
              <w:tblStyle w:val="30"/>
              <w:tblW w:w="76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5"/>
              <w:gridCol w:w="1416"/>
              <w:gridCol w:w="1416"/>
              <w:gridCol w:w="1416"/>
              <w:gridCol w:w="1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106" w:type="pct"/>
                  <w:vAlign w:val="center"/>
                </w:tcPr>
                <w:p>
                  <w:pPr>
                    <w:pStyle w:val="43"/>
                    <w:widowControl w:val="0"/>
                    <w:spacing w:line="240" w:lineRule="auto"/>
                    <w:ind w:firstLine="0" w:firstLineChars="0"/>
                    <w:jc w:val="center"/>
                    <w:rPr>
                      <w:b/>
                      <w:bCs/>
                      <w:sz w:val="21"/>
                      <w:szCs w:val="21"/>
                    </w:rPr>
                  </w:pPr>
                  <w:r>
                    <w:rPr>
                      <w:b/>
                      <w:bCs/>
                      <w:sz w:val="21"/>
                      <w:szCs w:val="21"/>
                    </w:rPr>
                    <w:t>噪声源名称</w:t>
                  </w:r>
                </w:p>
              </w:tc>
              <w:tc>
                <w:tcPr>
                  <w:tcW w:w="924" w:type="pct"/>
                  <w:vAlign w:val="center"/>
                </w:tcPr>
                <w:p>
                  <w:pPr>
                    <w:pStyle w:val="43"/>
                    <w:widowControl w:val="0"/>
                    <w:spacing w:line="240" w:lineRule="auto"/>
                    <w:ind w:firstLine="0" w:firstLineChars="0"/>
                    <w:jc w:val="center"/>
                    <w:rPr>
                      <w:b/>
                      <w:bCs/>
                      <w:sz w:val="21"/>
                      <w:szCs w:val="21"/>
                    </w:rPr>
                  </w:pPr>
                  <w:r>
                    <w:rPr>
                      <w:b/>
                      <w:bCs/>
                      <w:sz w:val="21"/>
                      <w:szCs w:val="21"/>
                    </w:rPr>
                    <w:t>噪声级</w:t>
                  </w:r>
                </w:p>
              </w:tc>
              <w:tc>
                <w:tcPr>
                  <w:tcW w:w="924" w:type="pct"/>
                  <w:vAlign w:val="center"/>
                </w:tcPr>
                <w:p>
                  <w:pPr>
                    <w:pStyle w:val="43"/>
                    <w:widowControl w:val="0"/>
                    <w:spacing w:line="240" w:lineRule="auto"/>
                    <w:ind w:firstLine="0" w:firstLineChars="0"/>
                    <w:jc w:val="center"/>
                    <w:rPr>
                      <w:b/>
                      <w:bCs/>
                      <w:sz w:val="21"/>
                      <w:szCs w:val="21"/>
                    </w:rPr>
                  </w:pPr>
                  <w:r>
                    <w:rPr>
                      <w:b/>
                      <w:bCs/>
                      <w:sz w:val="21"/>
                      <w:szCs w:val="21"/>
                    </w:rPr>
                    <w:t>工作状况</w:t>
                  </w:r>
                </w:p>
              </w:tc>
              <w:tc>
                <w:tcPr>
                  <w:tcW w:w="924" w:type="pct"/>
                  <w:vAlign w:val="center"/>
                </w:tcPr>
                <w:p>
                  <w:pPr>
                    <w:pStyle w:val="53"/>
                    <w:snapToGrid w:val="0"/>
                    <w:spacing w:line="240" w:lineRule="auto"/>
                    <w:ind w:firstLine="0"/>
                    <w:jc w:val="center"/>
                    <w:textAlignment w:val="auto"/>
                    <w:rPr>
                      <w:rFonts w:ascii="Times New Roman" w:hAnsi="Times New Roman" w:eastAsia="宋体" w:cs="Times New Roman"/>
                      <w:b/>
                      <w:bCs/>
                      <w:kern w:val="0"/>
                      <w:sz w:val="21"/>
                      <w:szCs w:val="21"/>
                    </w:rPr>
                  </w:pPr>
                  <w:r>
                    <w:rPr>
                      <w:rFonts w:ascii="Times New Roman" w:hAnsi="Times New Roman" w:eastAsia="宋体" w:cs="Times New Roman"/>
                      <w:b/>
                      <w:bCs/>
                      <w:sz w:val="21"/>
                      <w:szCs w:val="21"/>
                    </w:rPr>
                    <w:t>降噪措施</w:t>
                  </w:r>
                </w:p>
              </w:tc>
              <w:tc>
                <w:tcPr>
                  <w:tcW w:w="1120" w:type="pct"/>
                  <w:vAlign w:val="center"/>
                </w:tcPr>
                <w:p>
                  <w:pPr>
                    <w:pStyle w:val="43"/>
                    <w:widowControl w:val="0"/>
                    <w:spacing w:line="240" w:lineRule="auto"/>
                    <w:ind w:firstLine="0" w:firstLineChars="0"/>
                    <w:jc w:val="center"/>
                    <w:rPr>
                      <w:b/>
                      <w:bCs/>
                      <w:sz w:val="21"/>
                      <w:szCs w:val="21"/>
                    </w:rPr>
                  </w:pPr>
                  <w:r>
                    <w:rPr>
                      <w:b/>
                      <w:bCs/>
                      <w:sz w:val="21"/>
                      <w:szCs w:val="21"/>
                    </w:rPr>
                    <w:t>降噪后噪声级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106" w:type="pct"/>
                  <w:vAlign w:val="center"/>
                </w:tcPr>
                <w:p>
                  <w:pPr>
                    <w:pStyle w:val="64"/>
                    <w:jc w:val="center"/>
                    <w:rPr>
                      <w:rFonts w:ascii="Times New Roman" w:hAnsi="Times New Roman" w:cs="Times New Roman"/>
                      <w:sz w:val="21"/>
                      <w:szCs w:val="21"/>
                      <w:lang w:eastAsia="zh-CN"/>
                    </w:rPr>
                  </w:pPr>
                  <w:r>
                    <w:rPr>
                      <w:rFonts w:ascii="Times New Roman" w:hAnsi="Times New Roman" w:cs="Times New Roman"/>
                      <w:sz w:val="21"/>
                      <w:szCs w:val="21"/>
                      <w:lang w:val="zh-CN" w:eastAsia="zh-CN"/>
                    </w:rPr>
                    <w:t>颚式破碎机</w:t>
                  </w:r>
                </w:p>
              </w:tc>
              <w:tc>
                <w:tcPr>
                  <w:tcW w:w="924" w:type="pct"/>
                  <w:vAlign w:val="center"/>
                </w:tcPr>
                <w:p>
                  <w:pPr>
                    <w:pStyle w:val="43"/>
                    <w:widowControl w:val="0"/>
                    <w:spacing w:line="240" w:lineRule="auto"/>
                    <w:ind w:firstLine="0" w:firstLineChars="0"/>
                    <w:jc w:val="center"/>
                    <w:rPr>
                      <w:sz w:val="21"/>
                      <w:szCs w:val="21"/>
                    </w:rPr>
                  </w:pPr>
                  <w:r>
                    <w:rPr>
                      <w:rFonts w:hint="eastAsia"/>
                      <w:sz w:val="21"/>
                      <w:szCs w:val="21"/>
                    </w:rPr>
                    <w:t>90</w:t>
                  </w:r>
                </w:p>
              </w:tc>
              <w:tc>
                <w:tcPr>
                  <w:tcW w:w="924" w:type="pct"/>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连续</w:t>
                  </w:r>
                </w:p>
              </w:tc>
              <w:tc>
                <w:tcPr>
                  <w:tcW w:w="924" w:type="pct"/>
                  <w:vMerge w:val="restart"/>
                  <w:vAlign w:val="center"/>
                </w:tcPr>
                <w:p>
                  <w:pPr>
                    <w:pStyle w:val="53"/>
                    <w:snapToGrid w:val="0"/>
                    <w:spacing w:line="240" w:lineRule="auto"/>
                    <w:ind w:firstLine="0"/>
                    <w:jc w:val="center"/>
                    <w:textAlignment w:val="auto"/>
                    <w:rPr>
                      <w:rFonts w:ascii="Times New Roman" w:hAnsi="Times New Roman" w:eastAsia="宋体" w:cs="Times New Roman"/>
                      <w:b/>
                      <w:bCs/>
                      <w:kern w:val="0"/>
                      <w:sz w:val="21"/>
                      <w:szCs w:val="21"/>
                    </w:rPr>
                  </w:pPr>
                  <w:r>
                    <w:rPr>
                      <w:rFonts w:ascii="Times New Roman" w:hAnsi="Times New Roman" w:eastAsia="宋体" w:cs="Times New Roman"/>
                      <w:sz w:val="21"/>
                      <w:szCs w:val="21"/>
                    </w:rPr>
                    <w:t>基础减震，厂房隔声，距离衰减</w:t>
                  </w:r>
                </w:p>
              </w:tc>
              <w:tc>
                <w:tcPr>
                  <w:tcW w:w="1120" w:type="pct"/>
                  <w:vAlign w:val="center"/>
                </w:tcPr>
                <w:p>
                  <w:pPr>
                    <w:pStyle w:val="43"/>
                    <w:widowControl w:val="0"/>
                    <w:spacing w:line="240" w:lineRule="auto"/>
                    <w:ind w:firstLine="0" w:firstLineChars="0"/>
                    <w:jc w:val="center"/>
                    <w:rPr>
                      <w:sz w:val="21"/>
                      <w:szCs w:val="21"/>
                    </w:rPr>
                  </w:pPr>
                  <w:r>
                    <w:rPr>
                      <w:rFonts w:hint="eastAsia"/>
                      <w:sz w:val="21"/>
                      <w:szCs w:val="21"/>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106" w:type="pct"/>
                  <w:vAlign w:val="center"/>
                </w:tcPr>
                <w:p>
                  <w:pPr>
                    <w:pStyle w:val="64"/>
                    <w:jc w:val="center"/>
                    <w:rPr>
                      <w:rFonts w:ascii="Times New Roman" w:hAnsi="Times New Roman" w:cs="Times New Roman"/>
                      <w:sz w:val="21"/>
                      <w:szCs w:val="21"/>
                      <w:lang w:eastAsia="zh-CN"/>
                    </w:rPr>
                  </w:pPr>
                  <w:r>
                    <w:rPr>
                      <w:rFonts w:hint="eastAsia" w:ascii="Times New Roman" w:hAnsi="Times New Roman" w:cs="Times New Roman"/>
                      <w:sz w:val="21"/>
                      <w:szCs w:val="21"/>
                      <w:lang w:eastAsia="zh-CN"/>
                    </w:rPr>
                    <w:t>圆锥破碎机</w:t>
                  </w:r>
                </w:p>
              </w:tc>
              <w:tc>
                <w:tcPr>
                  <w:tcW w:w="924" w:type="pct"/>
                  <w:vAlign w:val="center"/>
                </w:tcPr>
                <w:p>
                  <w:pPr>
                    <w:pStyle w:val="43"/>
                    <w:widowControl w:val="0"/>
                    <w:spacing w:line="240" w:lineRule="auto"/>
                    <w:ind w:firstLine="0" w:firstLineChars="0"/>
                    <w:jc w:val="center"/>
                    <w:rPr>
                      <w:sz w:val="21"/>
                      <w:szCs w:val="21"/>
                    </w:rPr>
                  </w:pPr>
                  <w:r>
                    <w:rPr>
                      <w:rFonts w:hint="eastAsia"/>
                      <w:sz w:val="21"/>
                      <w:szCs w:val="21"/>
                    </w:rPr>
                    <w:t>85</w:t>
                  </w:r>
                </w:p>
              </w:tc>
              <w:tc>
                <w:tcPr>
                  <w:tcW w:w="924" w:type="pct"/>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连续</w:t>
                  </w:r>
                </w:p>
              </w:tc>
              <w:tc>
                <w:tcPr>
                  <w:tcW w:w="924" w:type="pct"/>
                  <w:vMerge w:val="continue"/>
                  <w:vAlign w:val="center"/>
                </w:tcPr>
                <w:p>
                  <w:pPr>
                    <w:pStyle w:val="53"/>
                    <w:snapToGrid w:val="0"/>
                    <w:spacing w:line="240" w:lineRule="auto"/>
                    <w:ind w:firstLine="0"/>
                    <w:jc w:val="center"/>
                    <w:textAlignment w:val="auto"/>
                    <w:rPr>
                      <w:rFonts w:ascii="Times New Roman" w:hAnsi="Times New Roman" w:eastAsia="宋体" w:cs="Times New Roman"/>
                      <w:b/>
                      <w:bCs/>
                      <w:kern w:val="0"/>
                      <w:sz w:val="21"/>
                      <w:szCs w:val="21"/>
                    </w:rPr>
                  </w:pPr>
                </w:p>
              </w:tc>
              <w:tc>
                <w:tcPr>
                  <w:tcW w:w="1120" w:type="pct"/>
                  <w:vAlign w:val="center"/>
                </w:tcPr>
                <w:p>
                  <w:pPr>
                    <w:pStyle w:val="43"/>
                    <w:widowControl w:val="0"/>
                    <w:spacing w:line="240" w:lineRule="auto"/>
                    <w:ind w:firstLine="0" w:firstLineChars="0"/>
                    <w:jc w:val="center"/>
                    <w:rPr>
                      <w:sz w:val="21"/>
                      <w:szCs w:val="21"/>
                    </w:rPr>
                  </w:pPr>
                  <w:r>
                    <w:rPr>
                      <w:rFonts w:hint="eastAsia"/>
                      <w:sz w:val="21"/>
                      <w:szCs w:val="21"/>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106" w:type="pct"/>
                  <w:vAlign w:val="center"/>
                </w:tcPr>
                <w:p>
                  <w:pPr>
                    <w:pStyle w:val="64"/>
                    <w:jc w:val="center"/>
                    <w:rPr>
                      <w:rFonts w:ascii="Times New Roman" w:hAnsi="Times New Roman" w:cs="Times New Roman"/>
                      <w:sz w:val="21"/>
                      <w:szCs w:val="21"/>
                      <w:lang w:eastAsia="zh-CN"/>
                    </w:rPr>
                  </w:pPr>
                  <w:r>
                    <w:rPr>
                      <w:rFonts w:ascii="Times New Roman" w:hAnsi="Times New Roman" w:cs="Times New Roman"/>
                      <w:sz w:val="21"/>
                      <w:szCs w:val="21"/>
                      <w:lang w:val="zh-CN" w:eastAsia="zh-CN"/>
                    </w:rPr>
                    <w:t>皮带输送机</w:t>
                  </w:r>
                </w:p>
              </w:tc>
              <w:tc>
                <w:tcPr>
                  <w:tcW w:w="924" w:type="pct"/>
                  <w:vAlign w:val="center"/>
                </w:tcPr>
                <w:p>
                  <w:pPr>
                    <w:pStyle w:val="43"/>
                    <w:widowControl w:val="0"/>
                    <w:spacing w:line="240" w:lineRule="auto"/>
                    <w:ind w:firstLine="0" w:firstLineChars="0"/>
                    <w:jc w:val="center"/>
                    <w:rPr>
                      <w:sz w:val="21"/>
                      <w:szCs w:val="21"/>
                    </w:rPr>
                  </w:pPr>
                  <w:r>
                    <w:rPr>
                      <w:rFonts w:hint="eastAsia"/>
                      <w:sz w:val="21"/>
                      <w:szCs w:val="21"/>
                    </w:rPr>
                    <w:t>75</w:t>
                  </w:r>
                </w:p>
              </w:tc>
              <w:tc>
                <w:tcPr>
                  <w:tcW w:w="924" w:type="pct"/>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连续</w:t>
                  </w:r>
                </w:p>
              </w:tc>
              <w:tc>
                <w:tcPr>
                  <w:tcW w:w="924" w:type="pct"/>
                  <w:vMerge w:val="continue"/>
                  <w:vAlign w:val="center"/>
                </w:tcPr>
                <w:p>
                  <w:pPr>
                    <w:pStyle w:val="53"/>
                    <w:snapToGrid w:val="0"/>
                    <w:spacing w:line="240" w:lineRule="auto"/>
                    <w:ind w:firstLine="0"/>
                    <w:jc w:val="center"/>
                    <w:textAlignment w:val="auto"/>
                    <w:rPr>
                      <w:rFonts w:ascii="Times New Roman" w:hAnsi="Times New Roman" w:eastAsia="宋体" w:cs="Times New Roman"/>
                      <w:b/>
                      <w:bCs/>
                      <w:kern w:val="0"/>
                      <w:sz w:val="21"/>
                      <w:szCs w:val="21"/>
                    </w:rPr>
                  </w:pPr>
                </w:p>
              </w:tc>
              <w:tc>
                <w:tcPr>
                  <w:tcW w:w="1120" w:type="pct"/>
                  <w:vAlign w:val="center"/>
                </w:tcPr>
                <w:p>
                  <w:pPr>
                    <w:pStyle w:val="43"/>
                    <w:widowControl w:val="0"/>
                    <w:spacing w:line="240" w:lineRule="auto"/>
                    <w:ind w:firstLine="0" w:firstLineChars="0"/>
                    <w:jc w:val="center"/>
                    <w:rPr>
                      <w:sz w:val="21"/>
                      <w:szCs w:val="21"/>
                    </w:rPr>
                  </w:pPr>
                  <w:r>
                    <w:rPr>
                      <w:rFonts w:hint="eastAsia"/>
                      <w:sz w:val="21"/>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106" w:type="pct"/>
                  <w:vAlign w:val="center"/>
                </w:tcPr>
                <w:p>
                  <w:pPr>
                    <w:pStyle w:val="64"/>
                    <w:jc w:val="center"/>
                    <w:rPr>
                      <w:rFonts w:ascii="Times New Roman" w:hAnsi="Times New Roman" w:cs="Times New Roman"/>
                      <w:sz w:val="21"/>
                      <w:szCs w:val="21"/>
                      <w:lang w:eastAsia="zh-CN"/>
                    </w:rPr>
                  </w:pPr>
                  <w:r>
                    <w:rPr>
                      <w:rFonts w:ascii="Times New Roman" w:hAnsi="Times New Roman" w:cs="Times New Roman"/>
                      <w:sz w:val="21"/>
                      <w:szCs w:val="21"/>
                      <w:lang w:val="zh-CN" w:eastAsia="zh-CN"/>
                    </w:rPr>
                    <w:t>振动筛</w:t>
                  </w:r>
                </w:p>
              </w:tc>
              <w:tc>
                <w:tcPr>
                  <w:tcW w:w="924" w:type="pct"/>
                  <w:vAlign w:val="center"/>
                </w:tcPr>
                <w:p>
                  <w:pPr>
                    <w:pStyle w:val="43"/>
                    <w:widowControl w:val="0"/>
                    <w:spacing w:line="240" w:lineRule="auto"/>
                    <w:ind w:firstLine="0" w:firstLineChars="0"/>
                    <w:jc w:val="center"/>
                    <w:rPr>
                      <w:sz w:val="21"/>
                      <w:szCs w:val="21"/>
                    </w:rPr>
                  </w:pPr>
                  <w:r>
                    <w:rPr>
                      <w:rFonts w:hint="eastAsia"/>
                      <w:sz w:val="21"/>
                      <w:szCs w:val="21"/>
                    </w:rPr>
                    <w:t>85</w:t>
                  </w:r>
                </w:p>
              </w:tc>
              <w:tc>
                <w:tcPr>
                  <w:tcW w:w="924" w:type="pct"/>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连续</w:t>
                  </w:r>
                </w:p>
              </w:tc>
              <w:tc>
                <w:tcPr>
                  <w:tcW w:w="924" w:type="pct"/>
                  <w:vMerge w:val="continue"/>
                  <w:vAlign w:val="center"/>
                </w:tcPr>
                <w:p>
                  <w:pPr>
                    <w:pStyle w:val="53"/>
                    <w:snapToGrid w:val="0"/>
                    <w:spacing w:line="240" w:lineRule="auto"/>
                    <w:ind w:firstLine="0"/>
                    <w:jc w:val="center"/>
                    <w:textAlignment w:val="auto"/>
                    <w:rPr>
                      <w:rFonts w:ascii="Times New Roman" w:hAnsi="Times New Roman" w:eastAsia="宋体" w:cs="Times New Roman"/>
                      <w:b/>
                      <w:bCs/>
                      <w:kern w:val="0"/>
                      <w:sz w:val="21"/>
                      <w:szCs w:val="21"/>
                    </w:rPr>
                  </w:pPr>
                </w:p>
              </w:tc>
              <w:tc>
                <w:tcPr>
                  <w:tcW w:w="1120" w:type="pct"/>
                  <w:vAlign w:val="center"/>
                </w:tcPr>
                <w:p>
                  <w:pPr>
                    <w:pStyle w:val="43"/>
                    <w:widowControl w:val="0"/>
                    <w:spacing w:line="240" w:lineRule="auto"/>
                    <w:ind w:firstLine="0" w:firstLineChars="0"/>
                    <w:jc w:val="center"/>
                    <w:rPr>
                      <w:sz w:val="21"/>
                      <w:szCs w:val="21"/>
                    </w:rPr>
                  </w:pPr>
                  <w:r>
                    <w:rPr>
                      <w:rFonts w:hint="eastAsia"/>
                      <w:sz w:val="21"/>
                      <w:szCs w:val="21"/>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06" w:type="pct"/>
                  <w:vAlign w:val="center"/>
                </w:tcPr>
                <w:p>
                  <w:pPr>
                    <w:pStyle w:val="64"/>
                    <w:jc w:val="center"/>
                    <w:rPr>
                      <w:rFonts w:ascii="Times New Roman" w:hAnsi="Times New Roman" w:cs="Times New Roman"/>
                      <w:sz w:val="21"/>
                      <w:szCs w:val="21"/>
                      <w:lang w:eastAsia="zh-CN"/>
                    </w:rPr>
                  </w:pPr>
                  <w:r>
                    <w:rPr>
                      <w:rFonts w:hint="eastAsia" w:ascii="Times New Roman" w:hAnsi="Times New Roman" w:cs="Times New Roman"/>
                      <w:sz w:val="21"/>
                      <w:szCs w:val="21"/>
                      <w:lang w:eastAsia="zh-CN"/>
                    </w:rPr>
                    <w:t>滚筒筛</w:t>
                  </w:r>
                </w:p>
              </w:tc>
              <w:tc>
                <w:tcPr>
                  <w:tcW w:w="924" w:type="pct"/>
                  <w:vAlign w:val="center"/>
                </w:tcPr>
                <w:p>
                  <w:pPr>
                    <w:pStyle w:val="43"/>
                    <w:widowControl w:val="0"/>
                    <w:spacing w:line="240" w:lineRule="auto"/>
                    <w:ind w:firstLine="0" w:firstLineChars="0"/>
                    <w:jc w:val="center"/>
                    <w:rPr>
                      <w:sz w:val="21"/>
                      <w:szCs w:val="21"/>
                    </w:rPr>
                  </w:pPr>
                  <w:r>
                    <w:rPr>
                      <w:rFonts w:hint="eastAsia"/>
                      <w:sz w:val="21"/>
                      <w:szCs w:val="21"/>
                    </w:rPr>
                    <w:t>75</w:t>
                  </w:r>
                </w:p>
              </w:tc>
              <w:tc>
                <w:tcPr>
                  <w:tcW w:w="924" w:type="pct"/>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连续</w:t>
                  </w:r>
                </w:p>
              </w:tc>
              <w:tc>
                <w:tcPr>
                  <w:tcW w:w="924" w:type="pct"/>
                  <w:vMerge w:val="continue"/>
                  <w:vAlign w:val="center"/>
                </w:tcPr>
                <w:p>
                  <w:pPr>
                    <w:pStyle w:val="53"/>
                    <w:snapToGrid w:val="0"/>
                    <w:spacing w:line="240" w:lineRule="auto"/>
                    <w:ind w:firstLine="0"/>
                    <w:jc w:val="center"/>
                    <w:textAlignment w:val="auto"/>
                    <w:rPr>
                      <w:rFonts w:ascii="Times New Roman" w:hAnsi="Times New Roman" w:eastAsia="宋体" w:cs="Times New Roman"/>
                      <w:b/>
                      <w:bCs/>
                      <w:kern w:val="0"/>
                      <w:sz w:val="21"/>
                      <w:szCs w:val="21"/>
                    </w:rPr>
                  </w:pPr>
                </w:p>
              </w:tc>
              <w:tc>
                <w:tcPr>
                  <w:tcW w:w="1120" w:type="pct"/>
                  <w:vAlign w:val="center"/>
                </w:tcPr>
                <w:p>
                  <w:pPr>
                    <w:pStyle w:val="43"/>
                    <w:widowControl w:val="0"/>
                    <w:spacing w:line="240" w:lineRule="auto"/>
                    <w:ind w:firstLine="0" w:firstLineChars="0"/>
                    <w:jc w:val="center"/>
                    <w:rPr>
                      <w:sz w:val="21"/>
                      <w:szCs w:val="21"/>
                    </w:rPr>
                  </w:pPr>
                  <w:r>
                    <w:rPr>
                      <w:rFonts w:hint="eastAsia"/>
                      <w:sz w:val="21"/>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06" w:type="pct"/>
                  <w:vAlign w:val="center"/>
                </w:tcPr>
                <w:p>
                  <w:pPr>
                    <w:pStyle w:val="64"/>
                    <w:jc w:val="center"/>
                    <w:rPr>
                      <w:rFonts w:ascii="Times New Roman" w:hAnsi="Times New Roman" w:cs="Times New Roman"/>
                      <w:sz w:val="21"/>
                      <w:szCs w:val="21"/>
                      <w:lang w:eastAsia="zh-CN"/>
                    </w:rPr>
                  </w:pPr>
                  <w:r>
                    <w:rPr>
                      <w:rFonts w:hint="eastAsia" w:ascii="Times New Roman" w:hAnsi="Times New Roman" w:cs="Times New Roman"/>
                      <w:sz w:val="21"/>
                      <w:szCs w:val="21"/>
                      <w:lang w:eastAsia="zh-CN"/>
                    </w:rPr>
                    <w:t>四排洗沙轮</w:t>
                  </w:r>
                </w:p>
              </w:tc>
              <w:tc>
                <w:tcPr>
                  <w:tcW w:w="924" w:type="pct"/>
                  <w:vAlign w:val="center"/>
                </w:tcPr>
                <w:p>
                  <w:pPr>
                    <w:pStyle w:val="43"/>
                    <w:widowControl w:val="0"/>
                    <w:spacing w:line="240" w:lineRule="auto"/>
                    <w:ind w:firstLine="0" w:firstLineChars="0"/>
                    <w:jc w:val="center"/>
                    <w:rPr>
                      <w:sz w:val="21"/>
                      <w:szCs w:val="21"/>
                    </w:rPr>
                  </w:pPr>
                  <w:r>
                    <w:rPr>
                      <w:rFonts w:hint="eastAsia"/>
                      <w:sz w:val="21"/>
                      <w:szCs w:val="21"/>
                    </w:rPr>
                    <w:t>75</w:t>
                  </w:r>
                </w:p>
              </w:tc>
              <w:tc>
                <w:tcPr>
                  <w:tcW w:w="924" w:type="pct"/>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连续</w:t>
                  </w:r>
                </w:p>
              </w:tc>
              <w:tc>
                <w:tcPr>
                  <w:tcW w:w="924" w:type="pct"/>
                  <w:vMerge w:val="continue"/>
                  <w:vAlign w:val="center"/>
                </w:tcPr>
                <w:p>
                  <w:pPr>
                    <w:pStyle w:val="53"/>
                    <w:snapToGrid w:val="0"/>
                    <w:spacing w:line="240" w:lineRule="auto"/>
                    <w:ind w:firstLine="0"/>
                    <w:jc w:val="center"/>
                    <w:textAlignment w:val="auto"/>
                    <w:rPr>
                      <w:rFonts w:ascii="Times New Roman" w:hAnsi="Times New Roman" w:eastAsia="宋体" w:cs="Times New Roman"/>
                      <w:b/>
                      <w:bCs/>
                      <w:kern w:val="0"/>
                      <w:sz w:val="21"/>
                      <w:szCs w:val="21"/>
                    </w:rPr>
                  </w:pPr>
                </w:p>
              </w:tc>
              <w:tc>
                <w:tcPr>
                  <w:tcW w:w="1120" w:type="pct"/>
                  <w:vAlign w:val="center"/>
                </w:tcPr>
                <w:p>
                  <w:pPr>
                    <w:pStyle w:val="43"/>
                    <w:widowControl w:val="0"/>
                    <w:spacing w:line="240" w:lineRule="auto"/>
                    <w:ind w:firstLine="0" w:firstLineChars="0"/>
                    <w:jc w:val="center"/>
                    <w:rPr>
                      <w:sz w:val="21"/>
                      <w:szCs w:val="21"/>
                    </w:rPr>
                  </w:pPr>
                  <w:r>
                    <w:rPr>
                      <w:rFonts w:hint="eastAsia"/>
                      <w:sz w:val="21"/>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06" w:type="pct"/>
                  <w:vAlign w:val="center"/>
                </w:tcPr>
                <w:p>
                  <w:pPr>
                    <w:pStyle w:val="64"/>
                    <w:jc w:val="center"/>
                    <w:rPr>
                      <w:rFonts w:ascii="Times New Roman" w:hAnsi="Times New Roman" w:cs="Times New Roman"/>
                      <w:sz w:val="21"/>
                      <w:szCs w:val="21"/>
                      <w:lang w:eastAsia="zh-CN"/>
                    </w:rPr>
                  </w:pPr>
                  <w:r>
                    <w:rPr>
                      <w:rFonts w:hint="eastAsia" w:ascii="Times New Roman" w:hAnsi="Times New Roman" w:cs="Times New Roman"/>
                      <w:sz w:val="21"/>
                      <w:szCs w:val="21"/>
                      <w:lang w:eastAsia="zh-CN"/>
                    </w:rPr>
                    <w:t>托盘筛</w:t>
                  </w:r>
                </w:p>
              </w:tc>
              <w:tc>
                <w:tcPr>
                  <w:tcW w:w="924" w:type="pct"/>
                  <w:vAlign w:val="center"/>
                </w:tcPr>
                <w:p>
                  <w:pPr>
                    <w:pStyle w:val="43"/>
                    <w:widowControl w:val="0"/>
                    <w:spacing w:line="240" w:lineRule="auto"/>
                    <w:ind w:firstLine="0" w:firstLineChars="0"/>
                    <w:jc w:val="center"/>
                    <w:rPr>
                      <w:sz w:val="21"/>
                      <w:szCs w:val="21"/>
                    </w:rPr>
                  </w:pPr>
                  <w:r>
                    <w:rPr>
                      <w:rFonts w:hint="eastAsia"/>
                      <w:sz w:val="21"/>
                      <w:szCs w:val="21"/>
                    </w:rPr>
                    <w:t>75</w:t>
                  </w:r>
                </w:p>
              </w:tc>
              <w:tc>
                <w:tcPr>
                  <w:tcW w:w="924" w:type="pct"/>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连续</w:t>
                  </w:r>
                </w:p>
              </w:tc>
              <w:tc>
                <w:tcPr>
                  <w:tcW w:w="924" w:type="pct"/>
                  <w:vMerge w:val="continue"/>
                  <w:vAlign w:val="center"/>
                </w:tcPr>
                <w:p>
                  <w:pPr>
                    <w:pStyle w:val="53"/>
                    <w:snapToGrid w:val="0"/>
                    <w:spacing w:line="240" w:lineRule="auto"/>
                    <w:ind w:firstLine="0"/>
                    <w:jc w:val="center"/>
                    <w:textAlignment w:val="auto"/>
                    <w:rPr>
                      <w:rFonts w:ascii="Times New Roman" w:hAnsi="Times New Roman" w:eastAsia="宋体" w:cs="Times New Roman"/>
                      <w:b/>
                      <w:bCs/>
                      <w:kern w:val="0"/>
                      <w:sz w:val="21"/>
                      <w:szCs w:val="21"/>
                    </w:rPr>
                  </w:pPr>
                </w:p>
              </w:tc>
              <w:tc>
                <w:tcPr>
                  <w:tcW w:w="1120" w:type="pct"/>
                  <w:vAlign w:val="center"/>
                </w:tcPr>
                <w:p>
                  <w:pPr>
                    <w:pStyle w:val="43"/>
                    <w:widowControl w:val="0"/>
                    <w:spacing w:line="240" w:lineRule="auto"/>
                    <w:ind w:firstLine="0" w:firstLineChars="0"/>
                    <w:jc w:val="center"/>
                    <w:rPr>
                      <w:sz w:val="21"/>
                      <w:szCs w:val="21"/>
                    </w:rPr>
                  </w:pPr>
                  <w:r>
                    <w:rPr>
                      <w:rFonts w:hint="eastAsia"/>
                      <w:sz w:val="21"/>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06" w:type="pct"/>
                  <w:vAlign w:val="center"/>
                </w:tcPr>
                <w:p>
                  <w:pPr>
                    <w:pStyle w:val="64"/>
                    <w:jc w:val="center"/>
                    <w:rPr>
                      <w:rFonts w:ascii="Times New Roman" w:hAnsi="Times New Roman" w:cs="Times New Roman"/>
                      <w:sz w:val="21"/>
                      <w:szCs w:val="21"/>
                      <w:lang w:eastAsia="zh-CN"/>
                    </w:rPr>
                  </w:pPr>
                  <w:r>
                    <w:rPr>
                      <w:rFonts w:hint="eastAsia" w:ascii="Times New Roman" w:hAnsi="Times New Roman" w:cs="Times New Roman"/>
                      <w:sz w:val="21"/>
                      <w:szCs w:val="21"/>
                      <w:lang w:eastAsia="zh-CN"/>
                    </w:rPr>
                    <w:t>压滤机</w:t>
                  </w:r>
                </w:p>
              </w:tc>
              <w:tc>
                <w:tcPr>
                  <w:tcW w:w="924" w:type="pct"/>
                  <w:vAlign w:val="center"/>
                </w:tcPr>
                <w:p>
                  <w:pPr>
                    <w:pStyle w:val="43"/>
                    <w:widowControl w:val="0"/>
                    <w:spacing w:line="240" w:lineRule="auto"/>
                    <w:ind w:firstLine="0" w:firstLineChars="0"/>
                    <w:jc w:val="center"/>
                    <w:rPr>
                      <w:sz w:val="21"/>
                      <w:szCs w:val="21"/>
                    </w:rPr>
                  </w:pPr>
                  <w:r>
                    <w:rPr>
                      <w:rFonts w:hint="eastAsia"/>
                      <w:sz w:val="21"/>
                      <w:szCs w:val="21"/>
                    </w:rPr>
                    <w:t>75</w:t>
                  </w:r>
                </w:p>
              </w:tc>
              <w:tc>
                <w:tcPr>
                  <w:tcW w:w="924" w:type="pct"/>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连续</w:t>
                  </w:r>
                </w:p>
              </w:tc>
              <w:tc>
                <w:tcPr>
                  <w:tcW w:w="924" w:type="pct"/>
                  <w:vMerge w:val="continue"/>
                  <w:vAlign w:val="center"/>
                </w:tcPr>
                <w:p>
                  <w:pPr>
                    <w:pStyle w:val="53"/>
                    <w:snapToGrid w:val="0"/>
                    <w:spacing w:line="240" w:lineRule="auto"/>
                    <w:ind w:firstLine="0"/>
                    <w:jc w:val="center"/>
                    <w:textAlignment w:val="auto"/>
                    <w:rPr>
                      <w:rFonts w:ascii="Times New Roman" w:hAnsi="Times New Roman" w:eastAsia="宋体" w:cs="Times New Roman"/>
                      <w:b/>
                      <w:bCs/>
                      <w:kern w:val="0"/>
                      <w:sz w:val="21"/>
                      <w:szCs w:val="21"/>
                    </w:rPr>
                  </w:pPr>
                </w:p>
              </w:tc>
              <w:tc>
                <w:tcPr>
                  <w:tcW w:w="1120" w:type="pct"/>
                  <w:vAlign w:val="center"/>
                </w:tcPr>
                <w:p>
                  <w:pPr>
                    <w:pStyle w:val="43"/>
                    <w:widowControl w:val="0"/>
                    <w:spacing w:line="240" w:lineRule="auto"/>
                    <w:ind w:firstLine="0" w:firstLineChars="0"/>
                    <w:jc w:val="center"/>
                    <w:rPr>
                      <w:sz w:val="21"/>
                      <w:szCs w:val="21"/>
                    </w:rPr>
                  </w:pPr>
                  <w:r>
                    <w:rPr>
                      <w:rFonts w:hint="eastAsia"/>
                      <w:sz w:val="21"/>
                      <w:szCs w:val="21"/>
                    </w:rPr>
                    <w:t>60</w:t>
                  </w:r>
                </w:p>
              </w:tc>
            </w:tr>
          </w:tbl>
          <w:p>
            <w:pPr>
              <w:pStyle w:val="43"/>
              <w:widowControl w:val="0"/>
              <w:snapToGrid/>
              <w:ind w:firstLine="482"/>
              <w:jc w:val="both"/>
              <w:rPr>
                <w:b/>
                <w:bCs/>
                <w:sz w:val="24"/>
                <w:szCs w:val="24"/>
              </w:rPr>
            </w:pPr>
          </w:p>
          <w:p>
            <w:pPr>
              <w:pStyle w:val="43"/>
              <w:widowControl w:val="0"/>
              <w:ind w:firstLine="482"/>
              <w:jc w:val="both"/>
              <w:rPr>
                <w:b/>
                <w:bCs/>
                <w:sz w:val="24"/>
                <w:szCs w:val="24"/>
              </w:rPr>
            </w:pPr>
            <w:r>
              <w:rPr>
                <w:b/>
                <w:bCs/>
                <w:sz w:val="24"/>
                <w:szCs w:val="24"/>
              </w:rPr>
              <w:t>（2）声环境影响预测</w:t>
            </w:r>
          </w:p>
          <w:p>
            <w:pPr>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①建筑物插入损失计算</w:t>
            </w:r>
          </w:p>
          <w:p>
            <w:pPr>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声屏障引起的衰减按式（A.21）计算：</w:t>
            </w:r>
          </w:p>
          <w:p>
            <w:pPr>
              <w:adjustRightInd w:val="0"/>
              <w:snapToGrid w:val="0"/>
              <w:spacing w:line="360" w:lineRule="auto"/>
              <w:ind w:firstLine="480" w:firstLineChars="200"/>
              <w:jc w:val="center"/>
              <w:rPr>
                <w:rFonts w:ascii="Times New Roman" w:hAnsi="Times New Roman" w:eastAsia="宋体" w:cs="Times New Roman"/>
                <w:sz w:val="24"/>
              </w:rPr>
            </w:pPr>
            <w:r>
              <w:rPr>
                <w:rFonts w:ascii="Times New Roman" w:hAnsi="Times New Roman" w:eastAsia="宋体" w:cs="Times New Roman"/>
                <w:position w:val="-28"/>
                <w:sz w:val="24"/>
              </w:rPr>
              <w:object>
                <v:shape id="_x0000_i1028" o:spt="75" type="#_x0000_t75" style="height:33.95pt;width:228.25pt;" o:ole="t" filled="f" o:preferrelative="t" stroked="f" coordsize="21600,21600">
                  <v:path/>
                  <v:fill on="f" focussize="0,0"/>
                  <v:stroke on="f" joinstyle="miter"/>
                  <v:imagedata r:id="rId17" o:title=""/>
                  <o:lock v:ext="edit" aspectratio="t"/>
                  <w10:wrap type="none"/>
                  <w10:anchorlock/>
                </v:shape>
                <o:OLEObject Type="Embed" ProgID="Equation.3" ShapeID="_x0000_i1028" DrawAspect="Content" ObjectID="_1468075728" r:id="rId16">
                  <o:LockedField>false</o:LockedField>
                </o:OLEObject>
              </w:object>
            </w:r>
          </w:p>
          <w:p>
            <w:pPr>
              <w:adjustRightInd w:val="0"/>
              <w:snapToGrid w:val="0"/>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式中：</w:t>
            </w:r>
            <w:r>
              <w:rPr>
                <w:rFonts w:ascii="Times New Roman" w:hAnsi="Times New Roman" w:eastAsia="宋体" w:cs="Times New Roman"/>
                <w:i/>
                <w:sz w:val="24"/>
              </w:rPr>
              <w:t>A</w:t>
            </w:r>
            <w:r>
              <w:rPr>
                <w:rFonts w:ascii="Times New Roman" w:hAnsi="Times New Roman" w:eastAsia="宋体" w:cs="Times New Roman"/>
                <w:sz w:val="24"/>
              </w:rPr>
              <w:t>bar——障碍物屏蔽引起的衰减，dB；</w:t>
            </w:r>
          </w:p>
          <w:p>
            <w:pPr>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i/>
                <w:sz w:val="24"/>
              </w:rPr>
              <w:t>N</w:t>
            </w:r>
            <w:r>
              <w:rPr>
                <w:rFonts w:ascii="Times New Roman" w:hAnsi="Times New Roman" w:eastAsia="宋体" w:cs="Times New Roman"/>
                <w:sz w:val="24"/>
              </w:rPr>
              <w:t>1、</w:t>
            </w:r>
            <w:r>
              <w:rPr>
                <w:rFonts w:ascii="Times New Roman" w:hAnsi="Times New Roman" w:eastAsia="宋体" w:cs="Times New Roman"/>
                <w:i/>
                <w:sz w:val="24"/>
              </w:rPr>
              <w:t>N</w:t>
            </w:r>
            <w:r>
              <w:rPr>
                <w:rFonts w:ascii="Times New Roman" w:hAnsi="Times New Roman" w:eastAsia="宋体" w:cs="Times New Roman"/>
                <w:sz w:val="24"/>
              </w:rPr>
              <w:t>2、</w:t>
            </w:r>
            <w:r>
              <w:rPr>
                <w:rFonts w:ascii="Times New Roman" w:hAnsi="Times New Roman" w:eastAsia="宋体" w:cs="Times New Roman"/>
                <w:i/>
                <w:sz w:val="24"/>
              </w:rPr>
              <w:t>N</w:t>
            </w:r>
            <w:r>
              <w:rPr>
                <w:rFonts w:ascii="Times New Roman" w:hAnsi="Times New Roman" w:eastAsia="宋体" w:cs="Times New Roman"/>
                <w:sz w:val="24"/>
              </w:rPr>
              <w:t>3——附录A图A.6所示三个传播途径的声程差</w:t>
            </w:r>
            <w:r>
              <w:rPr>
                <w:rFonts w:ascii="Times New Roman" w:hAnsi="Times New Roman" w:eastAsia="宋体" w:cs="Times New Roman"/>
                <w:i/>
                <w:sz w:val="24"/>
              </w:rPr>
              <w:t>δ</w:t>
            </w:r>
            <w:r>
              <w:rPr>
                <w:rFonts w:ascii="Times New Roman" w:hAnsi="Times New Roman" w:eastAsia="宋体" w:cs="Times New Roman"/>
                <w:sz w:val="24"/>
              </w:rPr>
              <w:t>1，</w:t>
            </w:r>
            <w:r>
              <w:rPr>
                <w:rFonts w:ascii="Times New Roman" w:hAnsi="Times New Roman" w:eastAsia="宋体" w:cs="Times New Roman"/>
                <w:i/>
                <w:sz w:val="24"/>
              </w:rPr>
              <w:t>δ</w:t>
            </w:r>
            <w:r>
              <w:rPr>
                <w:rFonts w:ascii="Times New Roman" w:hAnsi="Times New Roman" w:eastAsia="宋体" w:cs="Times New Roman"/>
                <w:sz w:val="24"/>
              </w:rPr>
              <w:t>2，</w:t>
            </w:r>
            <w:r>
              <w:rPr>
                <w:rFonts w:ascii="Times New Roman" w:hAnsi="Times New Roman" w:eastAsia="宋体" w:cs="Times New Roman"/>
                <w:i/>
                <w:sz w:val="24"/>
              </w:rPr>
              <w:t>δ</w:t>
            </w:r>
            <w:r>
              <w:rPr>
                <w:rFonts w:ascii="Times New Roman" w:hAnsi="Times New Roman" w:eastAsia="宋体" w:cs="Times New Roman"/>
                <w:sz w:val="24"/>
              </w:rPr>
              <w:t>3相应的菲涅尔数。</w:t>
            </w:r>
          </w:p>
          <w:p>
            <w:pPr>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②预测方法</w:t>
            </w:r>
          </w:p>
          <w:p>
            <w:pPr>
              <w:widowControl/>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kern w:val="0"/>
                <w:sz w:val="24"/>
                <w:lang w:bidi="ar"/>
              </w:rPr>
              <w:t>噪声传播过程中有三个要素：即声源、传播途径和接受者。根据项目采取的治理措施及降噪效果，采用《环境影响评价技术导则 声环境》（HJ2.4-2021）推荐的工业噪声预测模式，本评价只考虑几何发散引起的衰减量来预测项目对厂界的贡献点的影响。</w:t>
            </w:r>
          </w:p>
          <w:p>
            <w:pPr>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kern w:val="0"/>
                <w:sz w:val="24"/>
                <w:lang w:bidi="ar"/>
              </w:rPr>
              <w:t>预测方法为：依据各噪声源与各预测点的距离计算出各噪声设备产生的噪声对各预测点的影响值，并根据能量合成法叠加各噪声设备对各预测点的噪声贡献值，来预测分析本项目运营期对厂界及周围声环境的影响。</w:t>
            </w:r>
          </w:p>
          <w:p>
            <w:pPr>
              <w:widowControl/>
              <w:adjustRightInd w:val="0"/>
              <w:snapToGrid w:val="0"/>
              <w:spacing w:line="360" w:lineRule="auto"/>
              <w:ind w:firstLine="480" w:firstLineChars="200"/>
              <w:rPr>
                <w:rFonts w:ascii="Times New Roman" w:hAnsi="Times New Roman" w:eastAsia="宋体" w:cs="Times New Roman"/>
                <w:kern w:val="0"/>
                <w:sz w:val="24"/>
                <w:lang w:bidi="ar"/>
              </w:rPr>
            </w:pPr>
            <w:r>
              <w:rPr>
                <w:rFonts w:ascii="Times New Roman" w:hAnsi="Times New Roman" w:eastAsia="宋体" w:cs="Times New Roman"/>
                <w:sz w:val="24"/>
              </w:rPr>
              <w:t>③预测模式</w:t>
            </w:r>
          </w:p>
          <w:p>
            <w:pPr>
              <w:widowControl/>
              <w:adjustRightInd w:val="0"/>
              <w:snapToGrid w:val="0"/>
              <w:spacing w:line="360" w:lineRule="auto"/>
              <w:ind w:firstLine="480" w:firstLineChars="200"/>
              <w:rPr>
                <w:rFonts w:ascii="Times New Roman" w:hAnsi="Times New Roman" w:eastAsia="宋体" w:cs="Times New Roman"/>
                <w:kern w:val="0"/>
                <w:sz w:val="24"/>
                <w:lang w:bidi="ar"/>
              </w:rPr>
            </w:pPr>
            <w:r>
              <w:rPr>
                <w:rFonts w:ascii="Times New Roman" w:hAnsi="Times New Roman" w:eastAsia="宋体" w:cs="Times New Roman"/>
                <w:kern w:val="0"/>
                <w:sz w:val="24"/>
                <w:lang w:bidi="ar"/>
              </w:rPr>
              <w:t>采用《环境影响评价技术 声环境》（HJ2.4-2021）中的噪声预测模式预测本项目的主要噪声设备对周围声环境的影响。预测模式如下：</w:t>
            </w:r>
          </w:p>
          <w:p>
            <w:pPr>
              <w:pStyle w:val="69"/>
              <w:tabs>
                <w:tab w:val="bar" w:pos="9540"/>
              </w:tabs>
              <w:snapToGrid w:val="0"/>
              <w:ind w:firstLine="480" w:firstLineChars="200"/>
              <w:rPr>
                <w:rFonts w:ascii="Times New Roman" w:hAnsi="Times New Roman" w:eastAsia="宋体" w:cs="Times New Roman"/>
              </w:rPr>
            </w:pPr>
            <w:r>
              <w:rPr>
                <w:rFonts w:ascii="Times New Roman" w:hAnsi="Times New Roman" w:eastAsia="宋体" w:cs="Times New Roman"/>
                <w:kern w:val="0"/>
                <w:lang w:bidi="ar"/>
              </w:rPr>
              <w:t>A.</w:t>
            </w:r>
            <w:r>
              <w:rPr>
                <w:rFonts w:ascii="Times New Roman" w:hAnsi="Times New Roman" w:eastAsia="宋体" w:cs="Times New Roman"/>
              </w:rPr>
              <w:t>本项目只考虑几何发散衰减，公式按照：</w:t>
            </w:r>
          </w:p>
          <w:p>
            <w:pPr>
              <w:pStyle w:val="69"/>
              <w:tabs>
                <w:tab w:val="bar" w:pos="9540"/>
              </w:tabs>
              <w:snapToGrid w:val="0"/>
              <w:ind w:firstLine="0" w:firstLineChars="0"/>
              <w:jc w:val="center"/>
              <w:rPr>
                <w:rFonts w:ascii="Times New Roman" w:hAnsi="Times New Roman" w:eastAsia="宋体" w:cs="Times New Roman"/>
              </w:rPr>
            </w:pPr>
            <w:r>
              <w:rPr>
                <w:rFonts w:ascii="Times New Roman" w:hAnsi="Times New Roman" w:eastAsia="宋体" w:cs="Times New Roman"/>
              </w:rPr>
              <w:t>L</w:t>
            </w:r>
            <w:r>
              <w:rPr>
                <w:rFonts w:ascii="Times New Roman" w:hAnsi="Times New Roman" w:eastAsia="宋体" w:cs="Times New Roman"/>
                <w:vertAlign w:val="subscript"/>
              </w:rPr>
              <w:t>A</w:t>
            </w:r>
            <w:r>
              <w:rPr>
                <w:rFonts w:ascii="Times New Roman" w:hAnsi="Times New Roman" w:eastAsia="宋体" w:cs="Times New Roman"/>
              </w:rPr>
              <w:t>(r)=L</w:t>
            </w:r>
            <w:r>
              <w:rPr>
                <w:rFonts w:ascii="Times New Roman" w:hAnsi="Times New Roman" w:eastAsia="宋体" w:cs="Times New Roman"/>
                <w:vertAlign w:val="subscript"/>
              </w:rPr>
              <w:t>A</w:t>
            </w:r>
            <w:r>
              <w:rPr>
                <w:rFonts w:ascii="Times New Roman" w:hAnsi="Times New Roman" w:eastAsia="宋体" w:cs="Times New Roman"/>
              </w:rPr>
              <w:t>（r</w:t>
            </w:r>
            <w:r>
              <w:rPr>
                <w:rFonts w:ascii="Times New Roman" w:hAnsi="Times New Roman" w:eastAsia="宋体" w:cs="Times New Roman"/>
                <w:vertAlign w:val="subscript"/>
              </w:rPr>
              <w:t>0</w:t>
            </w:r>
            <w:r>
              <w:rPr>
                <w:rFonts w:ascii="Times New Roman" w:hAnsi="Times New Roman" w:eastAsia="宋体" w:cs="Times New Roman"/>
              </w:rPr>
              <w:t>）－A</w:t>
            </w:r>
            <w:r>
              <w:rPr>
                <w:rFonts w:ascii="Times New Roman" w:hAnsi="Times New Roman" w:eastAsia="宋体" w:cs="Times New Roman"/>
                <w:vertAlign w:val="subscript"/>
              </w:rPr>
              <w:t>div</w:t>
            </w:r>
          </w:p>
          <w:p>
            <w:pPr>
              <w:pStyle w:val="15"/>
              <w:adjustRightInd w:val="0"/>
              <w:snapToGrid w:val="0"/>
              <w:spacing w:after="0" w:line="360" w:lineRule="auto"/>
              <w:ind w:left="0" w:leftChars="0" w:right="0" w:rightChars="0" w:firstLine="480" w:firstLineChars="200"/>
              <w:rPr>
                <w:rFonts w:ascii="Times New Roman" w:hAnsi="Times New Roman" w:eastAsia="宋体" w:cs="Times New Roman"/>
                <w:sz w:val="24"/>
              </w:rPr>
            </w:pPr>
            <w:r>
              <w:rPr>
                <w:rFonts w:ascii="Times New Roman" w:hAnsi="Times New Roman" w:eastAsia="宋体" w:cs="Times New Roman"/>
                <w:sz w:val="24"/>
              </w:rPr>
              <w:t>式中：L</w:t>
            </w:r>
            <w:r>
              <w:rPr>
                <w:rFonts w:ascii="Times New Roman" w:hAnsi="Times New Roman" w:eastAsia="宋体" w:cs="Times New Roman"/>
                <w:sz w:val="24"/>
                <w:vertAlign w:val="subscript"/>
              </w:rPr>
              <w:t>A</w:t>
            </w:r>
            <w:r>
              <w:rPr>
                <w:rFonts w:ascii="Times New Roman" w:hAnsi="Times New Roman" w:eastAsia="宋体" w:cs="Times New Roman"/>
                <w:sz w:val="24"/>
              </w:rPr>
              <w:t>(r)——距声源r处的A声级，dB（A）；</w:t>
            </w:r>
          </w:p>
          <w:p>
            <w:pPr>
              <w:pStyle w:val="15"/>
              <w:adjustRightInd w:val="0"/>
              <w:snapToGrid w:val="0"/>
              <w:spacing w:after="0" w:line="360" w:lineRule="auto"/>
              <w:ind w:left="0" w:leftChars="0" w:right="0" w:rightChars="0" w:firstLine="1200" w:firstLineChars="500"/>
              <w:rPr>
                <w:rFonts w:ascii="Times New Roman" w:hAnsi="Times New Roman" w:eastAsia="宋体" w:cs="Times New Roman"/>
                <w:sz w:val="24"/>
              </w:rPr>
            </w:pPr>
            <w:r>
              <w:rPr>
                <w:rFonts w:ascii="Times New Roman" w:hAnsi="Times New Roman" w:eastAsia="宋体" w:cs="Times New Roman"/>
                <w:sz w:val="24"/>
              </w:rPr>
              <w:t>L</w:t>
            </w:r>
            <w:r>
              <w:rPr>
                <w:rFonts w:ascii="Times New Roman" w:hAnsi="Times New Roman" w:eastAsia="宋体" w:cs="Times New Roman"/>
                <w:sz w:val="24"/>
                <w:vertAlign w:val="subscript"/>
              </w:rPr>
              <w:t>A</w:t>
            </w:r>
            <w:r>
              <w:rPr>
                <w:rFonts w:ascii="Times New Roman" w:hAnsi="Times New Roman" w:eastAsia="宋体" w:cs="Times New Roman"/>
                <w:sz w:val="24"/>
              </w:rPr>
              <w:t>(r</w:t>
            </w:r>
            <w:r>
              <w:rPr>
                <w:rFonts w:ascii="Times New Roman" w:hAnsi="Times New Roman" w:eastAsia="宋体" w:cs="Times New Roman"/>
                <w:sz w:val="24"/>
                <w:vertAlign w:val="subscript"/>
              </w:rPr>
              <w:t>0</w:t>
            </w:r>
            <w:r>
              <w:rPr>
                <w:rFonts w:ascii="Times New Roman" w:hAnsi="Times New Roman" w:eastAsia="宋体" w:cs="Times New Roman"/>
                <w:sz w:val="24"/>
              </w:rPr>
              <w:t>)——参考位置r</w:t>
            </w:r>
            <w:r>
              <w:rPr>
                <w:rFonts w:ascii="Times New Roman" w:hAnsi="Times New Roman" w:eastAsia="宋体" w:cs="Times New Roman"/>
                <w:sz w:val="24"/>
                <w:vertAlign w:val="subscript"/>
              </w:rPr>
              <w:t>0</w:t>
            </w:r>
            <w:r>
              <w:rPr>
                <w:rFonts w:ascii="Times New Roman" w:hAnsi="Times New Roman" w:eastAsia="宋体" w:cs="Times New Roman"/>
                <w:sz w:val="24"/>
              </w:rPr>
              <w:t>处的A声级，dB（A）；</w:t>
            </w:r>
          </w:p>
          <w:p>
            <w:pPr>
              <w:pStyle w:val="69"/>
              <w:tabs>
                <w:tab w:val="bar" w:pos="9540"/>
              </w:tabs>
              <w:snapToGrid w:val="0"/>
              <w:ind w:firstLine="1200" w:firstLineChars="500"/>
              <w:rPr>
                <w:rFonts w:ascii="Times New Roman" w:hAnsi="Times New Roman" w:eastAsia="宋体" w:cs="Times New Roman"/>
              </w:rPr>
            </w:pPr>
            <w:r>
              <w:rPr>
                <w:rFonts w:ascii="Times New Roman" w:hAnsi="Times New Roman" w:eastAsia="宋体" w:cs="Times New Roman"/>
              </w:rPr>
              <w:t>A</w:t>
            </w:r>
            <w:r>
              <w:rPr>
                <w:rFonts w:ascii="Times New Roman" w:hAnsi="Times New Roman" w:eastAsia="宋体" w:cs="Times New Roman"/>
                <w:vertAlign w:val="subscript"/>
              </w:rPr>
              <w:t>div</w:t>
            </w:r>
            <w:r>
              <w:rPr>
                <w:rFonts w:ascii="Times New Roman" w:hAnsi="Times New Roman" w:eastAsia="宋体" w:cs="Times New Roman"/>
              </w:rPr>
              <w:t>——几何发散引起的衰减，dB；</w:t>
            </w:r>
          </w:p>
          <w:p>
            <w:pPr>
              <w:pStyle w:val="69"/>
              <w:tabs>
                <w:tab w:val="bar" w:pos="9540"/>
              </w:tabs>
              <w:snapToGrid w:val="0"/>
              <w:ind w:firstLine="480" w:firstLineChars="200"/>
              <w:rPr>
                <w:rFonts w:ascii="Times New Roman" w:hAnsi="Times New Roman" w:eastAsia="宋体" w:cs="Times New Roman"/>
              </w:rPr>
            </w:pPr>
            <w:r>
              <w:rPr>
                <w:rFonts w:ascii="Times New Roman" w:hAnsi="Times New Roman" w:eastAsia="宋体" w:cs="Times New Roman"/>
                <w:kern w:val="0"/>
                <w:lang w:bidi="ar"/>
              </w:rPr>
              <w:t>B.</w:t>
            </w:r>
            <w:r>
              <w:rPr>
                <w:rFonts w:ascii="Times New Roman" w:hAnsi="Times New Roman" w:eastAsia="宋体" w:cs="Times New Roman"/>
              </w:rPr>
              <w:t>声源的几何发散衰减公式：</w:t>
            </w:r>
          </w:p>
          <w:p>
            <w:pPr>
              <w:pStyle w:val="15"/>
              <w:adjustRightInd w:val="0"/>
              <w:snapToGrid w:val="0"/>
              <w:spacing w:after="0" w:line="360" w:lineRule="auto"/>
              <w:ind w:left="0" w:leftChars="0" w:right="0" w:rightChars="0"/>
              <w:jc w:val="center"/>
              <w:rPr>
                <w:rFonts w:ascii="Times New Roman" w:hAnsi="Times New Roman" w:eastAsia="宋体" w:cs="Times New Roman"/>
                <w:sz w:val="24"/>
              </w:rPr>
            </w:pPr>
            <w:r>
              <w:rPr>
                <w:rFonts w:ascii="Times New Roman" w:hAnsi="Times New Roman" w:eastAsia="宋体" w:cs="Times New Roman"/>
                <w:sz w:val="24"/>
              </w:rPr>
              <w:t>A</w:t>
            </w:r>
            <w:r>
              <w:rPr>
                <w:rFonts w:ascii="Times New Roman" w:hAnsi="Times New Roman" w:eastAsia="宋体" w:cs="Times New Roman"/>
                <w:sz w:val="24"/>
                <w:vertAlign w:val="subscript"/>
              </w:rPr>
              <w:t>div</w:t>
            </w:r>
            <w:r>
              <w:rPr>
                <w:rFonts w:ascii="Times New Roman" w:hAnsi="Times New Roman" w:eastAsia="宋体" w:cs="Times New Roman"/>
                <w:sz w:val="24"/>
              </w:rPr>
              <w:t>=20lg（r/r</w:t>
            </w:r>
            <w:r>
              <w:rPr>
                <w:rFonts w:ascii="Times New Roman" w:hAnsi="Times New Roman" w:eastAsia="宋体" w:cs="Times New Roman"/>
                <w:sz w:val="24"/>
                <w:vertAlign w:val="subscript"/>
              </w:rPr>
              <w:t>0</w:t>
            </w:r>
            <w:r>
              <w:rPr>
                <w:rFonts w:ascii="Times New Roman" w:hAnsi="Times New Roman" w:eastAsia="宋体" w:cs="Times New Roman"/>
                <w:sz w:val="24"/>
              </w:rPr>
              <w:t>）</w:t>
            </w:r>
          </w:p>
          <w:p>
            <w:pPr>
              <w:pStyle w:val="15"/>
              <w:adjustRightInd w:val="0"/>
              <w:snapToGrid w:val="0"/>
              <w:spacing w:after="0" w:line="360" w:lineRule="auto"/>
              <w:ind w:left="0" w:leftChars="0" w:right="0" w:rightChars="0" w:firstLine="480" w:firstLineChars="200"/>
              <w:rPr>
                <w:rFonts w:ascii="Times New Roman" w:hAnsi="Times New Roman" w:eastAsia="宋体" w:cs="Times New Roman"/>
                <w:sz w:val="24"/>
              </w:rPr>
            </w:pPr>
            <w:r>
              <w:rPr>
                <w:rFonts w:ascii="Times New Roman" w:hAnsi="Times New Roman" w:eastAsia="宋体" w:cs="Times New Roman"/>
                <w:sz w:val="24"/>
              </w:rPr>
              <w:t>式中：A</w:t>
            </w:r>
            <w:r>
              <w:rPr>
                <w:rFonts w:ascii="Times New Roman" w:hAnsi="Times New Roman" w:eastAsia="宋体" w:cs="Times New Roman"/>
                <w:sz w:val="24"/>
                <w:vertAlign w:val="subscript"/>
              </w:rPr>
              <w:t>div</w:t>
            </w:r>
            <w:r>
              <w:rPr>
                <w:rFonts w:ascii="Times New Roman" w:hAnsi="Times New Roman" w:eastAsia="宋体" w:cs="Times New Roman"/>
                <w:sz w:val="24"/>
              </w:rPr>
              <w:t>——几何发散引起的衰减，dB；</w:t>
            </w:r>
          </w:p>
          <w:p>
            <w:pPr>
              <w:pStyle w:val="69"/>
              <w:tabs>
                <w:tab w:val="bar" w:pos="9540"/>
              </w:tabs>
              <w:snapToGrid w:val="0"/>
              <w:ind w:firstLine="1200" w:firstLineChars="500"/>
              <w:rPr>
                <w:rFonts w:ascii="Times New Roman" w:hAnsi="Times New Roman" w:eastAsia="宋体" w:cs="Times New Roman"/>
              </w:rPr>
            </w:pPr>
            <w:r>
              <w:rPr>
                <w:rFonts w:ascii="Times New Roman" w:hAnsi="Times New Roman" w:eastAsia="宋体" w:cs="Times New Roman"/>
              </w:rPr>
              <w:t>r——预测点距声源的距离；</w:t>
            </w:r>
          </w:p>
          <w:p>
            <w:pPr>
              <w:pStyle w:val="15"/>
              <w:adjustRightInd w:val="0"/>
              <w:snapToGrid w:val="0"/>
              <w:spacing w:after="0" w:line="360" w:lineRule="auto"/>
              <w:ind w:left="0" w:leftChars="0" w:right="0" w:rightChars="0" w:firstLine="1200" w:firstLineChars="500"/>
              <w:rPr>
                <w:rFonts w:ascii="Times New Roman" w:hAnsi="Times New Roman" w:eastAsia="宋体" w:cs="Times New Roman"/>
                <w:sz w:val="24"/>
              </w:rPr>
            </w:pPr>
            <w:r>
              <w:rPr>
                <w:rFonts w:ascii="Times New Roman" w:hAnsi="Times New Roman" w:eastAsia="宋体" w:cs="Times New Roman"/>
                <w:sz w:val="24"/>
              </w:rPr>
              <w:t>r</w:t>
            </w:r>
            <w:r>
              <w:rPr>
                <w:rFonts w:ascii="Times New Roman" w:hAnsi="Times New Roman" w:eastAsia="宋体" w:cs="Times New Roman"/>
                <w:sz w:val="24"/>
                <w:vertAlign w:val="subscript"/>
              </w:rPr>
              <w:t>0</w:t>
            </w:r>
            <w:r>
              <w:rPr>
                <w:rFonts w:ascii="Times New Roman" w:hAnsi="Times New Roman" w:eastAsia="宋体" w:cs="Times New Roman"/>
                <w:sz w:val="24"/>
              </w:rPr>
              <w:t>——参考位置距声源的距离；</w:t>
            </w:r>
          </w:p>
          <w:p>
            <w:pPr>
              <w:pStyle w:val="69"/>
              <w:tabs>
                <w:tab w:val="bar" w:pos="9540"/>
              </w:tabs>
              <w:snapToGrid w:val="0"/>
              <w:ind w:firstLine="480" w:firstLineChars="200"/>
              <w:rPr>
                <w:rFonts w:ascii="Times New Roman" w:hAnsi="Times New Roman" w:eastAsia="宋体" w:cs="Times New Roman"/>
              </w:rPr>
            </w:pPr>
            <w:r>
              <w:rPr>
                <w:rFonts w:ascii="Times New Roman" w:hAnsi="Times New Roman" w:eastAsia="宋体" w:cs="Times New Roman"/>
                <w:kern w:val="0"/>
                <w:lang w:bidi="ar"/>
              </w:rPr>
              <w:t>C.</w:t>
            </w:r>
            <w:r>
              <w:rPr>
                <w:rFonts w:ascii="Times New Roman" w:hAnsi="Times New Roman" w:eastAsia="宋体" w:cs="Times New Roman"/>
              </w:rPr>
              <w:t>工业企业噪声计算公式：</w:t>
            </w:r>
          </w:p>
          <w:p>
            <w:pPr>
              <w:pStyle w:val="15"/>
              <w:adjustRightInd w:val="0"/>
              <w:snapToGrid w:val="0"/>
              <w:spacing w:after="0" w:line="360" w:lineRule="auto"/>
              <w:ind w:left="0" w:leftChars="0" w:right="0" w:rightChars="0"/>
              <w:jc w:val="center"/>
              <w:rPr>
                <w:rFonts w:ascii="Times New Roman" w:hAnsi="Times New Roman" w:eastAsia="宋体" w:cs="Times New Roman"/>
                <w:sz w:val="24"/>
              </w:rPr>
            </w:pPr>
            <w:r>
              <w:rPr>
                <w:rFonts w:ascii="Times New Roman" w:hAnsi="Times New Roman" w:eastAsia="宋体" w:cs="Times New Roman"/>
                <w:position w:val="-34"/>
                <w:sz w:val="24"/>
              </w:rPr>
              <w:object>
                <v:shape id="_x0000_i1029" o:spt="75" type="#_x0000_t75" style="height:40.1pt;width:203pt;" o:ole="t" filled="f" o:preferrelative="t" stroked="f" coordsize="21600,21600">
                  <v:path/>
                  <v:fill on="f" focussize="0,0"/>
                  <v:stroke on="f" joinstyle="miter"/>
                  <v:imagedata r:id="rId19" o:title=""/>
                  <o:lock v:ext="edit" aspectratio="t"/>
                  <w10:wrap type="none"/>
                  <w10:anchorlock/>
                </v:shape>
                <o:OLEObject Type="Embed" ProgID="Equation.3" ShapeID="_x0000_i1029" DrawAspect="Content" ObjectID="_1468075729" r:id="rId18">
                  <o:LockedField>false</o:LockedField>
                </o:OLEObject>
              </w:object>
            </w:r>
          </w:p>
          <w:p>
            <w:pPr>
              <w:pStyle w:val="15"/>
              <w:adjustRightInd w:val="0"/>
              <w:snapToGrid w:val="0"/>
              <w:spacing w:after="0" w:line="360" w:lineRule="auto"/>
              <w:ind w:left="0" w:leftChars="0" w:right="0" w:rightChars="0" w:firstLine="480" w:firstLineChars="200"/>
              <w:rPr>
                <w:rFonts w:ascii="Times New Roman" w:hAnsi="Times New Roman" w:eastAsia="宋体" w:cs="Times New Roman"/>
                <w:sz w:val="24"/>
              </w:rPr>
            </w:pPr>
            <w:r>
              <w:rPr>
                <w:rFonts w:ascii="Times New Roman" w:hAnsi="Times New Roman" w:eastAsia="宋体" w:cs="Times New Roman"/>
                <w:sz w:val="24"/>
              </w:rPr>
              <w:t>式中：L</w:t>
            </w:r>
            <w:r>
              <w:rPr>
                <w:rFonts w:ascii="Times New Roman" w:hAnsi="Times New Roman" w:eastAsia="宋体" w:cs="Times New Roman"/>
                <w:sz w:val="24"/>
                <w:vertAlign w:val="subscript"/>
              </w:rPr>
              <w:t>eqg</w:t>
            </w:r>
            <w:r>
              <w:rPr>
                <w:rFonts w:ascii="Times New Roman" w:hAnsi="Times New Roman" w:eastAsia="宋体" w:cs="Times New Roman"/>
                <w:sz w:val="24"/>
              </w:rPr>
              <w:t>——建设项目声源在预测点产生的噪声贡献值，dB；</w:t>
            </w:r>
          </w:p>
          <w:p>
            <w:pPr>
              <w:pStyle w:val="15"/>
              <w:adjustRightInd w:val="0"/>
              <w:snapToGrid w:val="0"/>
              <w:spacing w:after="0" w:line="360" w:lineRule="auto"/>
              <w:ind w:left="0" w:leftChars="0" w:right="0" w:rightChars="0" w:firstLine="1200" w:firstLineChars="500"/>
              <w:rPr>
                <w:rFonts w:ascii="Times New Roman" w:hAnsi="Times New Roman" w:eastAsia="宋体" w:cs="Times New Roman"/>
                <w:sz w:val="24"/>
              </w:rPr>
            </w:pPr>
            <w:r>
              <w:rPr>
                <w:rFonts w:ascii="Times New Roman" w:hAnsi="Times New Roman" w:eastAsia="宋体" w:cs="Times New Roman"/>
                <w:sz w:val="24"/>
              </w:rPr>
              <w:t>T——用于计算等效声级的时间，s；</w:t>
            </w:r>
          </w:p>
          <w:p>
            <w:pPr>
              <w:pStyle w:val="69"/>
              <w:tabs>
                <w:tab w:val="bar" w:pos="9540"/>
              </w:tabs>
              <w:snapToGrid w:val="0"/>
              <w:ind w:firstLine="1200" w:firstLineChars="500"/>
              <w:rPr>
                <w:rFonts w:ascii="Times New Roman" w:hAnsi="Times New Roman" w:eastAsia="宋体" w:cs="Times New Roman"/>
              </w:rPr>
            </w:pPr>
            <w:r>
              <w:rPr>
                <w:rFonts w:ascii="Times New Roman" w:hAnsi="Times New Roman" w:eastAsia="宋体" w:cs="Times New Roman"/>
              </w:rPr>
              <w:t>N——室外声源个数；</w:t>
            </w:r>
          </w:p>
          <w:p>
            <w:pPr>
              <w:pStyle w:val="69"/>
              <w:tabs>
                <w:tab w:val="bar" w:pos="9540"/>
              </w:tabs>
              <w:snapToGrid w:val="0"/>
              <w:ind w:firstLine="1200" w:firstLineChars="500"/>
              <w:rPr>
                <w:rFonts w:ascii="Times New Roman" w:hAnsi="Times New Roman" w:eastAsia="宋体" w:cs="Times New Roman"/>
              </w:rPr>
            </w:pPr>
            <w:r>
              <w:rPr>
                <w:rFonts w:ascii="Times New Roman" w:hAnsi="Times New Roman" w:eastAsia="宋体" w:cs="Times New Roman"/>
              </w:rPr>
              <w:t>t</w:t>
            </w:r>
            <w:r>
              <w:rPr>
                <w:rFonts w:ascii="Times New Roman" w:hAnsi="Times New Roman" w:eastAsia="宋体" w:cs="Times New Roman"/>
                <w:vertAlign w:val="subscript"/>
              </w:rPr>
              <w:t>i</w:t>
            </w:r>
            <w:r>
              <w:rPr>
                <w:rFonts w:ascii="Times New Roman" w:hAnsi="Times New Roman" w:eastAsia="宋体" w:cs="Times New Roman"/>
              </w:rPr>
              <w:t>——在T时间内i声源工作时间，s；</w:t>
            </w:r>
          </w:p>
          <w:p>
            <w:pPr>
              <w:pStyle w:val="69"/>
              <w:tabs>
                <w:tab w:val="bar" w:pos="9540"/>
              </w:tabs>
              <w:snapToGrid w:val="0"/>
              <w:ind w:firstLine="1200" w:firstLineChars="500"/>
              <w:rPr>
                <w:rFonts w:ascii="Times New Roman" w:hAnsi="Times New Roman" w:eastAsia="宋体" w:cs="Times New Roman"/>
              </w:rPr>
            </w:pPr>
            <w:r>
              <w:rPr>
                <w:rFonts w:ascii="Times New Roman" w:hAnsi="Times New Roman" w:eastAsia="宋体" w:cs="Times New Roman"/>
              </w:rPr>
              <w:t>M——等效室外声源个数；</w:t>
            </w:r>
          </w:p>
          <w:p>
            <w:pPr>
              <w:adjustRightInd w:val="0"/>
              <w:snapToGrid w:val="0"/>
              <w:spacing w:line="360" w:lineRule="auto"/>
              <w:ind w:firstLine="480" w:firstLineChars="200"/>
              <w:rPr>
                <w:rFonts w:ascii="Times New Roman" w:hAnsi="Times New Roman" w:eastAsia="宋体" w:cs="Times New Roman"/>
                <w:sz w:val="24"/>
                <w:lang w:val="zh-CN"/>
              </w:rPr>
            </w:pPr>
            <w:r>
              <w:rPr>
                <w:rFonts w:ascii="Times New Roman" w:hAnsi="Times New Roman" w:eastAsia="宋体" w:cs="Times New Roman"/>
                <w:sz w:val="24"/>
              </w:rPr>
              <w:t>tj——在T时间内j声源工作时间，s。</w:t>
            </w:r>
          </w:p>
          <w:p>
            <w:pPr>
              <w:pStyle w:val="43"/>
              <w:widowControl w:val="0"/>
              <w:ind w:firstLine="482"/>
              <w:jc w:val="both"/>
              <w:rPr>
                <w:b/>
                <w:bCs/>
                <w:sz w:val="24"/>
                <w:szCs w:val="24"/>
              </w:rPr>
            </w:pPr>
            <w:r>
              <w:rPr>
                <w:b/>
                <w:bCs/>
                <w:sz w:val="24"/>
                <w:szCs w:val="24"/>
              </w:rPr>
              <w:t>（3）设备噪声预测分析</w:t>
            </w:r>
          </w:p>
          <w:p>
            <w:pPr>
              <w:widowControl/>
              <w:adjustRightInd w:val="0"/>
              <w:snapToGrid w:val="0"/>
              <w:spacing w:line="360" w:lineRule="auto"/>
              <w:ind w:firstLine="480" w:firstLineChars="200"/>
              <w:jc w:val="left"/>
              <w:rPr>
                <w:rFonts w:ascii="Times New Roman" w:hAnsi="Times New Roman" w:eastAsia="宋体" w:cs="Times New Roman"/>
                <w:b/>
                <w:sz w:val="24"/>
                <w:lang w:bidi="ar"/>
              </w:rPr>
            </w:pPr>
            <w:r>
              <w:rPr>
                <w:rFonts w:ascii="Times New Roman" w:hAnsi="Times New Roman" w:eastAsia="宋体" w:cs="Times New Roman"/>
                <w:sz w:val="24"/>
              </w:rPr>
              <w:t>该项目厂界各预测点的噪声贡献值预测结果见表4-9。</w:t>
            </w:r>
          </w:p>
          <w:p>
            <w:pPr>
              <w:jc w:val="center"/>
              <w:rPr>
                <w:rFonts w:ascii="Times New Roman" w:hAnsi="Times New Roman" w:eastAsia="宋体"/>
                <w:b/>
                <w:szCs w:val="21"/>
              </w:rPr>
            </w:pPr>
            <w:r>
              <w:rPr>
                <w:rFonts w:hint="eastAsia" w:ascii="Times New Roman" w:hAnsi="Times New Roman" w:eastAsia="宋体" w:cs="宋体"/>
                <w:b/>
                <w:szCs w:val="21"/>
                <w:lang w:bidi="ar"/>
              </w:rPr>
              <w:t>表4-12</w:t>
            </w:r>
            <w:r>
              <w:rPr>
                <w:rFonts w:ascii="Times New Roman" w:hAnsi="Times New Roman" w:eastAsia="宋体" w:cs="Times New Roman"/>
                <w:b/>
                <w:szCs w:val="21"/>
                <w:lang w:bidi="ar"/>
              </w:rPr>
              <w:t xml:space="preserve">  </w:t>
            </w:r>
            <w:r>
              <w:rPr>
                <w:rFonts w:hint="eastAsia" w:ascii="Times New Roman" w:hAnsi="Times New Roman" w:eastAsia="宋体" w:cs="宋体"/>
                <w:b/>
                <w:szCs w:val="21"/>
                <w:lang w:bidi="ar"/>
              </w:rPr>
              <w:t>项目噪声源距厂界距离  单位：m</w:t>
            </w:r>
          </w:p>
          <w:tbl>
            <w:tblPr>
              <w:tblStyle w:val="30"/>
              <w:tblW w:w="72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1639"/>
              <w:gridCol w:w="1247"/>
              <w:gridCol w:w="794"/>
              <w:gridCol w:w="905"/>
              <w:gridCol w:w="991"/>
              <w:gridCol w:w="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756" w:type="dxa"/>
                  <w:vMerge w:val="restart"/>
                  <w:tcBorders>
                    <w:tl2br w:val="nil"/>
                    <w:tr2bl w:val="nil"/>
                  </w:tcBorders>
                  <w:vAlign w:val="center"/>
                </w:tcPr>
                <w:p>
                  <w:pPr>
                    <w:pStyle w:val="43"/>
                    <w:widowControl w:val="0"/>
                    <w:snapToGrid/>
                    <w:spacing w:line="240" w:lineRule="auto"/>
                    <w:ind w:firstLine="0" w:firstLineChars="0"/>
                    <w:jc w:val="center"/>
                    <w:rPr>
                      <w:b/>
                      <w:bCs/>
                      <w:sz w:val="21"/>
                      <w:szCs w:val="21"/>
                    </w:rPr>
                  </w:pPr>
                  <w:r>
                    <w:rPr>
                      <w:rFonts w:hint="eastAsia"/>
                      <w:b/>
                      <w:bCs/>
                      <w:sz w:val="21"/>
                      <w:szCs w:val="21"/>
                    </w:rPr>
                    <w:t>污染源位置</w:t>
                  </w:r>
                </w:p>
              </w:tc>
              <w:tc>
                <w:tcPr>
                  <w:tcW w:w="1639" w:type="dxa"/>
                  <w:vMerge w:val="restart"/>
                  <w:tcBorders>
                    <w:tl2br w:val="nil"/>
                    <w:tr2bl w:val="nil"/>
                  </w:tcBorders>
                  <w:vAlign w:val="center"/>
                </w:tcPr>
                <w:p>
                  <w:pPr>
                    <w:pStyle w:val="43"/>
                    <w:widowControl w:val="0"/>
                    <w:snapToGrid/>
                    <w:spacing w:line="240" w:lineRule="auto"/>
                    <w:ind w:firstLine="0" w:firstLineChars="0"/>
                    <w:jc w:val="center"/>
                    <w:rPr>
                      <w:b/>
                      <w:bCs/>
                      <w:sz w:val="21"/>
                      <w:szCs w:val="21"/>
                    </w:rPr>
                  </w:pPr>
                  <w:r>
                    <w:rPr>
                      <w:rFonts w:hint="eastAsia"/>
                      <w:b/>
                      <w:bCs/>
                      <w:sz w:val="21"/>
                      <w:szCs w:val="21"/>
                    </w:rPr>
                    <w:t>噪声源名称</w:t>
                  </w:r>
                </w:p>
              </w:tc>
              <w:tc>
                <w:tcPr>
                  <w:tcW w:w="1247" w:type="dxa"/>
                  <w:vMerge w:val="restart"/>
                  <w:tcBorders>
                    <w:tl2br w:val="nil"/>
                    <w:tr2bl w:val="nil"/>
                  </w:tcBorders>
                  <w:vAlign w:val="center"/>
                </w:tcPr>
                <w:p>
                  <w:pPr>
                    <w:pStyle w:val="43"/>
                    <w:widowControl w:val="0"/>
                    <w:snapToGrid/>
                    <w:spacing w:line="240" w:lineRule="auto"/>
                    <w:ind w:firstLine="0" w:firstLineChars="0"/>
                    <w:jc w:val="center"/>
                    <w:rPr>
                      <w:b/>
                      <w:bCs/>
                      <w:sz w:val="21"/>
                      <w:szCs w:val="21"/>
                    </w:rPr>
                  </w:pPr>
                  <w:r>
                    <w:rPr>
                      <w:rFonts w:hint="eastAsia"/>
                      <w:b/>
                      <w:bCs/>
                      <w:sz w:val="21"/>
                      <w:szCs w:val="21"/>
                    </w:rPr>
                    <w:t>降噪后噪声级</w:t>
                  </w:r>
                  <w:r>
                    <w:rPr>
                      <w:b/>
                      <w:snapToGrid w:val="0"/>
                      <w:sz w:val="21"/>
                      <w:szCs w:val="21"/>
                      <w:lang w:bidi="ar"/>
                    </w:rPr>
                    <w:t>dB</w:t>
                  </w:r>
                  <w:r>
                    <w:rPr>
                      <w:rFonts w:hint="eastAsia" w:cs="宋体"/>
                      <w:b/>
                      <w:snapToGrid w:val="0"/>
                      <w:sz w:val="21"/>
                      <w:szCs w:val="21"/>
                      <w:lang w:bidi="ar"/>
                    </w:rPr>
                    <w:t>（</w:t>
                  </w:r>
                  <w:r>
                    <w:rPr>
                      <w:b/>
                      <w:snapToGrid w:val="0"/>
                      <w:sz w:val="21"/>
                      <w:szCs w:val="21"/>
                      <w:lang w:bidi="ar"/>
                    </w:rPr>
                    <w:t>A</w:t>
                  </w:r>
                  <w:r>
                    <w:rPr>
                      <w:rFonts w:hint="eastAsia" w:cs="宋体"/>
                      <w:b/>
                      <w:snapToGrid w:val="0"/>
                      <w:sz w:val="21"/>
                      <w:szCs w:val="21"/>
                      <w:lang w:bidi="ar"/>
                    </w:rPr>
                    <w:t>）</w:t>
                  </w:r>
                </w:p>
              </w:tc>
              <w:tc>
                <w:tcPr>
                  <w:tcW w:w="3576" w:type="dxa"/>
                  <w:gridSpan w:val="4"/>
                  <w:tcBorders>
                    <w:tl2br w:val="nil"/>
                    <w:tr2bl w:val="nil"/>
                  </w:tcBorders>
                  <w:vAlign w:val="center"/>
                </w:tcPr>
                <w:p>
                  <w:pPr>
                    <w:pStyle w:val="43"/>
                    <w:widowControl w:val="0"/>
                    <w:snapToGrid/>
                    <w:spacing w:line="240" w:lineRule="auto"/>
                    <w:ind w:firstLine="0" w:firstLineChars="0"/>
                    <w:jc w:val="center"/>
                    <w:rPr>
                      <w:b/>
                      <w:bCs/>
                      <w:sz w:val="21"/>
                      <w:szCs w:val="21"/>
                    </w:rPr>
                  </w:pPr>
                  <w:r>
                    <w:rPr>
                      <w:rFonts w:hint="eastAsia"/>
                      <w:b/>
                      <w:bCs/>
                      <w:sz w:val="21"/>
                      <w:szCs w:val="21"/>
                    </w:rPr>
                    <w:t>与厂界距离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56" w:type="dxa"/>
                  <w:vMerge w:val="continue"/>
                  <w:tcBorders>
                    <w:tl2br w:val="nil"/>
                    <w:tr2bl w:val="nil"/>
                  </w:tcBorders>
                  <w:vAlign w:val="center"/>
                </w:tcPr>
                <w:p>
                  <w:pPr>
                    <w:pStyle w:val="43"/>
                    <w:widowControl w:val="0"/>
                    <w:snapToGrid/>
                    <w:spacing w:line="240" w:lineRule="auto"/>
                    <w:ind w:firstLine="0" w:firstLineChars="0"/>
                    <w:jc w:val="center"/>
                    <w:rPr>
                      <w:b/>
                      <w:bCs/>
                      <w:sz w:val="21"/>
                      <w:szCs w:val="21"/>
                    </w:rPr>
                  </w:pPr>
                </w:p>
              </w:tc>
              <w:tc>
                <w:tcPr>
                  <w:tcW w:w="1639" w:type="dxa"/>
                  <w:vMerge w:val="continue"/>
                  <w:tcBorders>
                    <w:tl2br w:val="nil"/>
                    <w:tr2bl w:val="nil"/>
                  </w:tcBorders>
                  <w:vAlign w:val="center"/>
                </w:tcPr>
                <w:p>
                  <w:pPr>
                    <w:pStyle w:val="43"/>
                    <w:widowControl w:val="0"/>
                    <w:snapToGrid/>
                    <w:spacing w:line="240" w:lineRule="auto"/>
                    <w:ind w:firstLine="0" w:firstLineChars="0"/>
                    <w:jc w:val="center"/>
                    <w:rPr>
                      <w:b/>
                      <w:bCs/>
                      <w:sz w:val="21"/>
                      <w:szCs w:val="21"/>
                    </w:rPr>
                  </w:pPr>
                </w:p>
              </w:tc>
              <w:tc>
                <w:tcPr>
                  <w:tcW w:w="1247" w:type="dxa"/>
                  <w:vMerge w:val="continue"/>
                  <w:tcBorders>
                    <w:tl2br w:val="nil"/>
                    <w:tr2bl w:val="nil"/>
                  </w:tcBorders>
                  <w:vAlign w:val="center"/>
                </w:tcPr>
                <w:p>
                  <w:pPr>
                    <w:pStyle w:val="43"/>
                    <w:widowControl w:val="0"/>
                    <w:snapToGrid/>
                    <w:spacing w:line="240" w:lineRule="auto"/>
                    <w:ind w:firstLine="0" w:firstLineChars="0"/>
                    <w:jc w:val="center"/>
                    <w:rPr>
                      <w:b/>
                      <w:bCs/>
                      <w:sz w:val="21"/>
                      <w:szCs w:val="21"/>
                    </w:rPr>
                  </w:pPr>
                </w:p>
              </w:tc>
              <w:tc>
                <w:tcPr>
                  <w:tcW w:w="794" w:type="dxa"/>
                  <w:tcBorders>
                    <w:tl2br w:val="nil"/>
                    <w:tr2bl w:val="nil"/>
                  </w:tcBorders>
                  <w:vAlign w:val="center"/>
                </w:tcPr>
                <w:p>
                  <w:pPr>
                    <w:jc w:val="center"/>
                    <w:rPr>
                      <w:rFonts w:ascii="Times New Roman" w:hAnsi="Times New Roman" w:eastAsia="宋体" w:cs="Times New Roman"/>
                      <w:b/>
                      <w:bCs/>
                      <w:szCs w:val="21"/>
                    </w:rPr>
                  </w:pPr>
                  <w:r>
                    <w:rPr>
                      <w:rFonts w:hint="eastAsia" w:ascii="Times New Roman" w:hAnsi="Times New Roman" w:eastAsia="宋体"/>
                      <w:b/>
                      <w:bCs/>
                      <w:szCs w:val="21"/>
                    </w:rPr>
                    <w:t>东厂界</w:t>
                  </w:r>
                </w:p>
              </w:tc>
              <w:tc>
                <w:tcPr>
                  <w:tcW w:w="905" w:type="dxa"/>
                  <w:tcBorders>
                    <w:tl2br w:val="nil"/>
                    <w:tr2bl w:val="nil"/>
                  </w:tcBorders>
                  <w:vAlign w:val="center"/>
                </w:tcPr>
                <w:p>
                  <w:pPr>
                    <w:jc w:val="center"/>
                    <w:rPr>
                      <w:rFonts w:ascii="Times New Roman" w:hAnsi="Times New Roman" w:eastAsia="宋体" w:cs="Times New Roman"/>
                      <w:b/>
                      <w:bCs/>
                      <w:szCs w:val="21"/>
                    </w:rPr>
                  </w:pPr>
                  <w:r>
                    <w:rPr>
                      <w:rFonts w:hint="eastAsia" w:ascii="Times New Roman" w:hAnsi="Times New Roman" w:eastAsia="宋体"/>
                      <w:b/>
                      <w:bCs/>
                      <w:szCs w:val="21"/>
                    </w:rPr>
                    <w:t>南厂界</w:t>
                  </w:r>
                </w:p>
              </w:tc>
              <w:tc>
                <w:tcPr>
                  <w:tcW w:w="991" w:type="dxa"/>
                  <w:tcBorders>
                    <w:tl2br w:val="nil"/>
                    <w:tr2bl w:val="nil"/>
                  </w:tcBorders>
                  <w:vAlign w:val="center"/>
                </w:tcPr>
                <w:p>
                  <w:pPr>
                    <w:jc w:val="center"/>
                    <w:rPr>
                      <w:rFonts w:ascii="Times New Roman" w:hAnsi="Times New Roman" w:eastAsia="宋体" w:cs="Times New Roman"/>
                      <w:b/>
                      <w:bCs/>
                      <w:szCs w:val="21"/>
                    </w:rPr>
                  </w:pPr>
                  <w:r>
                    <w:rPr>
                      <w:rFonts w:hint="eastAsia" w:ascii="Times New Roman" w:hAnsi="Times New Roman" w:eastAsia="宋体"/>
                      <w:b/>
                      <w:bCs/>
                      <w:szCs w:val="21"/>
                    </w:rPr>
                    <w:t>西厂界</w:t>
                  </w:r>
                </w:p>
              </w:tc>
              <w:tc>
                <w:tcPr>
                  <w:tcW w:w="886" w:type="dxa"/>
                  <w:tcBorders>
                    <w:tl2br w:val="nil"/>
                    <w:tr2bl w:val="nil"/>
                  </w:tcBorders>
                  <w:vAlign w:val="center"/>
                </w:tcPr>
                <w:p>
                  <w:pPr>
                    <w:jc w:val="center"/>
                    <w:rPr>
                      <w:rFonts w:ascii="Times New Roman" w:hAnsi="Times New Roman" w:eastAsia="宋体" w:cs="Times New Roman"/>
                      <w:b/>
                      <w:bCs/>
                      <w:szCs w:val="21"/>
                    </w:rPr>
                  </w:pPr>
                  <w:r>
                    <w:rPr>
                      <w:rFonts w:hint="eastAsia" w:ascii="Times New Roman" w:hAnsi="Times New Roman" w:eastAsia="宋体"/>
                      <w:b/>
                      <w:bCs/>
                      <w:szCs w:val="21"/>
                    </w:rPr>
                    <w:t>北厂界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756" w:type="dxa"/>
                  <w:vMerge w:val="restart"/>
                  <w:tcBorders>
                    <w:tl2br w:val="nil"/>
                    <w:tr2bl w:val="nil"/>
                  </w:tcBorders>
                  <w:vAlign w:val="center"/>
                </w:tcPr>
                <w:p>
                  <w:pPr>
                    <w:pStyle w:val="43"/>
                    <w:widowControl w:val="0"/>
                    <w:snapToGrid/>
                    <w:spacing w:line="240" w:lineRule="auto"/>
                    <w:ind w:firstLine="0" w:firstLineChars="0"/>
                    <w:jc w:val="center"/>
                    <w:rPr>
                      <w:sz w:val="21"/>
                      <w:szCs w:val="21"/>
                    </w:rPr>
                  </w:pPr>
                  <w:r>
                    <w:rPr>
                      <w:rFonts w:hint="eastAsia"/>
                      <w:sz w:val="21"/>
                      <w:szCs w:val="21"/>
                    </w:rPr>
                    <w:t>车间</w:t>
                  </w:r>
                </w:p>
              </w:tc>
              <w:tc>
                <w:tcPr>
                  <w:tcW w:w="1639" w:type="dxa"/>
                  <w:tcBorders>
                    <w:tl2br w:val="nil"/>
                    <w:tr2bl w:val="nil"/>
                  </w:tcBorders>
                  <w:vAlign w:val="center"/>
                </w:tcPr>
                <w:p>
                  <w:pPr>
                    <w:pStyle w:val="64"/>
                    <w:jc w:val="center"/>
                    <w:rPr>
                      <w:rFonts w:ascii="Times New Roman" w:hAnsi="Times New Roman" w:cs="Times New Roman"/>
                      <w:sz w:val="21"/>
                      <w:szCs w:val="21"/>
                      <w:lang w:eastAsia="zh-CN"/>
                    </w:rPr>
                  </w:pPr>
                  <w:r>
                    <w:rPr>
                      <w:rFonts w:ascii="Times New Roman" w:hAnsi="Times New Roman" w:cs="Times New Roman"/>
                      <w:sz w:val="21"/>
                      <w:szCs w:val="21"/>
                      <w:lang w:val="zh-CN" w:eastAsia="zh-CN"/>
                    </w:rPr>
                    <w:t>颚式破碎机</w:t>
                  </w:r>
                </w:p>
              </w:tc>
              <w:tc>
                <w:tcPr>
                  <w:tcW w:w="1247" w:type="dxa"/>
                  <w:tcBorders>
                    <w:tl2br w:val="nil"/>
                    <w:tr2bl w:val="nil"/>
                  </w:tcBorders>
                  <w:vAlign w:val="center"/>
                </w:tcPr>
                <w:p>
                  <w:pPr>
                    <w:pStyle w:val="43"/>
                    <w:widowControl w:val="0"/>
                    <w:spacing w:line="240" w:lineRule="auto"/>
                    <w:ind w:firstLine="0" w:firstLineChars="0"/>
                    <w:jc w:val="center"/>
                    <w:rPr>
                      <w:sz w:val="21"/>
                      <w:szCs w:val="21"/>
                    </w:rPr>
                  </w:pPr>
                  <w:r>
                    <w:rPr>
                      <w:rFonts w:hint="eastAsia"/>
                      <w:sz w:val="21"/>
                      <w:szCs w:val="21"/>
                    </w:rPr>
                    <w:t>75</w:t>
                  </w:r>
                </w:p>
              </w:tc>
              <w:tc>
                <w:tcPr>
                  <w:tcW w:w="794" w:type="dxa"/>
                  <w:tcBorders>
                    <w:tl2br w:val="nil"/>
                    <w:tr2bl w:val="nil"/>
                  </w:tcBorders>
                  <w:vAlign w:val="center"/>
                </w:tcPr>
                <w:p>
                  <w:pPr>
                    <w:pStyle w:val="43"/>
                    <w:widowControl w:val="0"/>
                    <w:snapToGrid/>
                    <w:spacing w:line="240" w:lineRule="auto"/>
                    <w:ind w:firstLine="0" w:firstLineChars="0"/>
                    <w:jc w:val="center"/>
                    <w:rPr>
                      <w:sz w:val="21"/>
                      <w:szCs w:val="21"/>
                    </w:rPr>
                  </w:pPr>
                  <w:r>
                    <w:rPr>
                      <w:rFonts w:hint="eastAsia"/>
                      <w:sz w:val="21"/>
                      <w:szCs w:val="21"/>
                    </w:rPr>
                    <w:t>40</w:t>
                  </w:r>
                </w:p>
              </w:tc>
              <w:tc>
                <w:tcPr>
                  <w:tcW w:w="905" w:type="dxa"/>
                  <w:tcBorders>
                    <w:tl2br w:val="nil"/>
                    <w:tr2bl w:val="nil"/>
                  </w:tcBorders>
                  <w:vAlign w:val="center"/>
                </w:tcPr>
                <w:p>
                  <w:pPr>
                    <w:pStyle w:val="43"/>
                    <w:widowControl w:val="0"/>
                    <w:snapToGrid/>
                    <w:spacing w:line="240" w:lineRule="auto"/>
                    <w:ind w:firstLine="0" w:firstLineChars="0"/>
                    <w:jc w:val="center"/>
                    <w:rPr>
                      <w:sz w:val="21"/>
                      <w:szCs w:val="21"/>
                    </w:rPr>
                  </w:pPr>
                  <w:r>
                    <w:rPr>
                      <w:rFonts w:hint="eastAsia"/>
                      <w:sz w:val="21"/>
                      <w:szCs w:val="21"/>
                    </w:rPr>
                    <w:t>80</w:t>
                  </w:r>
                </w:p>
              </w:tc>
              <w:tc>
                <w:tcPr>
                  <w:tcW w:w="991" w:type="dxa"/>
                  <w:tcBorders>
                    <w:tl2br w:val="nil"/>
                    <w:tr2bl w:val="nil"/>
                  </w:tcBorders>
                  <w:vAlign w:val="center"/>
                </w:tcPr>
                <w:p>
                  <w:pPr>
                    <w:pStyle w:val="43"/>
                    <w:widowControl w:val="0"/>
                    <w:snapToGrid/>
                    <w:spacing w:line="240" w:lineRule="auto"/>
                    <w:ind w:firstLine="0" w:firstLineChars="0"/>
                    <w:jc w:val="center"/>
                    <w:rPr>
                      <w:sz w:val="21"/>
                      <w:szCs w:val="21"/>
                    </w:rPr>
                  </w:pPr>
                  <w:r>
                    <w:rPr>
                      <w:rFonts w:hint="eastAsia"/>
                      <w:sz w:val="21"/>
                      <w:szCs w:val="21"/>
                    </w:rPr>
                    <w:t>40</w:t>
                  </w:r>
                </w:p>
              </w:tc>
              <w:tc>
                <w:tcPr>
                  <w:tcW w:w="886" w:type="dxa"/>
                  <w:tcBorders>
                    <w:tl2br w:val="nil"/>
                    <w:tr2bl w:val="nil"/>
                  </w:tcBorders>
                  <w:vAlign w:val="center"/>
                </w:tcPr>
                <w:p>
                  <w:pPr>
                    <w:pStyle w:val="43"/>
                    <w:widowControl w:val="0"/>
                    <w:snapToGrid/>
                    <w:spacing w:line="240" w:lineRule="auto"/>
                    <w:ind w:firstLine="0" w:firstLineChars="0"/>
                    <w:jc w:val="center"/>
                    <w:rPr>
                      <w:sz w:val="21"/>
                      <w:szCs w:val="21"/>
                    </w:rPr>
                  </w:pPr>
                  <w:r>
                    <w:rPr>
                      <w:rFonts w:hint="eastAsia"/>
                      <w:sz w:val="21"/>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756" w:type="dxa"/>
                  <w:vMerge w:val="continue"/>
                  <w:tcBorders>
                    <w:tl2br w:val="nil"/>
                    <w:tr2bl w:val="nil"/>
                  </w:tcBorders>
                  <w:vAlign w:val="center"/>
                </w:tcPr>
                <w:p>
                  <w:pPr>
                    <w:pStyle w:val="43"/>
                    <w:widowControl w:val="0"/>
                    <w:snapToGrid/>
                    <w:spacing w:line="240" w:lineRule="auto"/>
                    <w:ind w:firstLine="0" w:firstLineChars="0"/>
                    <w:jc w:val="center"/>
                    <w:rPr>
                      <w:sz w:val="21"/>
                      <w:szCs w:val="21"/>
                    </w:rPr>
                  </w:pPr>
                </w:p>
              </w:tc>
              <w:tc>
                <w:tcPr>
                  <w:tcW w:w="1639" w:type="dxa"/>
                  <w:tcBorders>
                    <w:tl2br w:val="nil"/>
                    <w:tr2bl w:val="nil"/>
                  </w:tcBorders>
                  <w:vAlign w:val="center"/>
                </w:tcPr>
                <w:p>
                  <w:pPr>
                    <w:pStyle w:val="64"/>
                    <w:jc w:val="center"/>
                    <w:rPr>
                      <w:rFonts w:ascii="Times New Roman" w:hAnsi="Times New Roman" w:cs="Times New Roman"/>
                      <w:sz w:val="21"/>
                      <w:szCs w:val="21"/>
                      <w:lang w:eastAsia="zh-CN"/>
                    </w:rPr>
                  </w:pPr>
                  <w:r>
                    <w:rPr>
                      <w:rFonts w:hint="eastAsia" w:ascii="Times New Roman" w:hAnsi="Times New Roman" w:cs="Times New Roman"/>
                      <w:sz w:val="21"/>
                      <w:szCs w:val="21"/>
                      <w:lang w:eastAsia="zh-CN"/>
                    </w:rPr>
                    <w:t>圆锥破碎机</w:t>
                  </w:r>
                </w:p>
              </w:tc>
              <w:tc>
                <w:tcPr>
                  <w:tcW w:w="1247" w:type="dxa"/>
                  <w:tcBorders>
                    <w:tl2br w:val="nil"/>
                    <w:tr2bl w:val="nil"/>
                  </w:tcBorders>
                  <w:vAlign w:val="center"/>
                </w:tcPr>
                <w:p>
                  <w:pPr>
                    <w:pStyle w:val="43"/>
                    <w:widowControl w:val="0"/>
                    <w:spacing w:line="240" w:lineRule="auto"/>
                    <w:ind w:firstLine="0" w:firstLineChars="0"/>
                    <w:jc w:val="center"/>
                    <w:rPr>
                      <w:sz w:val="21"/>
                      <w:szCs w:val="21"/>
                    </w:rPr>
                  </w:pPr>
                  <w:r>
                    <w:rPr>
                      <w:rFonts w:hint="eastAsia"/>
                      <w:sz w:val="21"/>
                      <w:szCs w:val="21"/>
                    </w:rPr>
                    <w:t>70</w:t>
                  </w:r>
                </w:p>
              </w:tc>
              <w:tc>
                <w:tcPr>
                  <w:tcW w:w="794" w:type="dxa"/>
                  <w:tcBorders>
                    <w:tl2br w:val="nil"/>
                    <w:tr2bl w:val="nil"/>
                  </w:tcBorders>
                  <w:vAlign w:val="center"/>
                </w:tcPr>
                <w:p>
                  <w:pPr>
                    <w:pStyle w:val="43"/>
                    <w:widowControl w:val="0"/>
                    <w:snapToGrid/>
                    <w:spacing w:line="240" w:lineRule="auto"/>
                    <w:ind w:firstLine="0" w:firstLineChars="0"/>
                    <w:jc w:val="center"/>
                    <w:rPr>
                      <w:sz w:val="21"/>
                      <w:szCs w:val="21"/>
                    </w:rPr>
                  </w:pPr>
                  <w:r>
                    <w:rPr>
                      <w:rFonts w:hint="eastAsia"/>
                      <w:sz w:val="21"/>
                      <w:szCs w:val="21"/>
                    </w:rPr>
                    <w:t>40</w:t>
                  </w:r>
                </w:p>
              </w:tc>
              <w:tc>
                <w:tcPr>
                  <w:tcW w:w="905" w:type="dxa"/>
                  <w:tcBorders>
                    <w:tl2br w:val="nil"/>
                    <w:tr2bl w:val="nil"/>
                  </w:tcBorders>
                  <w:vAlign w:val="center"/>
                </w:tcPr>
                <w:p>
                  <w:pPr>
                    <w:pStyle w:val="43"/>
                    <w:widowControl w:val="0"/>
                    <w:snapToGrid/>
                    <w:spacing w:line="240" w:lineRule="auto"/>
                    <w:ind w:firstLine="0" w:firstLineChars="0"/>
                    <w:jc w:val="center"/>
                    <w:rPr>
                      <w:sz w:val="21"/>
                      <w:szCs w:val="21"/>
                    </w:rPr>
                  </w:pPr>
                  <w:r>
                    <w:rPr>
                      <w:rFonts w:hint="eastAsia"/>
                      <w:sz w:val="21"/>
                      <w:szCs w:val="21"/>
                    </w:rPr>
                    <w:t>75</w:t>
                  </w:r>
                </w:p>
              </w:tc>
              <w:tc>
                <w:tcPr>
                  <w:tcW w:w="991" w:type="dxa"/>
                  <w:tcBorders>
                    <w:tl2br w:val="nil"/>
                    <w:tr2bl w:val="nil"/>
                  </w:tcBorders>
                  <w:vAlign w:val="center"/>
                </w:tcPr>
                <w:p>
                  <w:pPr>
                    <w:pStyle w:val="43"/>
                    <w:widowControl w:val="0"/>
                    <w:snapToGrid/>
                    <w:spacing w:line="240" w:lineRule="auto"/>
                    <w:ind w:firstLine="0" w:firstLineChars="0"/>
                    <w:jc w:val="center"/>
                    <w:rPr>
                      <w:sz w:val="21"/>
                      <w:szCs w:val="21"/>
                    </w:rPr>
                  </w:pPr>
                  <w:r>
                    <w:rPr>
                      <w:rFonts w:hint="eastAsia"/>
                      <w:sz w:val="21"/>
                      <w:szCs w:val="21"/>
                    </w:rPr>
                    <w:t>40</w:t>
                  </w:r>
                </w:p>
              </w:tc>
              <w:tc>
                <w:tcPr>
                  <w:tcW w:w="886" w:type="dxa"/>
                  <w:tcBorders>
                    <w:tl2br w:val="nil"/>
                    <w:tr2bl w:val="nil"/>
                  </w:tcBorders>
                  <w:vAlign w:val="center"/>
                </w:tcPr>
                <w:p>
                  <w:pPr>
                    <w:pStyle w:val="43"/>
                    <w:widowControl w:val="0"/>
                    <w:snapToGrid/>
                    <w:spacing w:line="240" w:lineRule="auto"/>
                    <w:ind w:firstLine="0" w:firstLineChars="0"/>
                    <w:jc w:val="center"/>
                    <w:rPr>
                      <w:sz w:val="21"/>
                      <w:szCs w:val="21"/>
                    </w:rPr>
                  </w:pPr>
                  <w:r>
                    <w:rPr>
                      <w:rFonts w:hint="eastAsia"/>
                      <w:sz w:val="21"/>
                      <w:szCs w:val="21"/>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756" w:type="dxa"/>
                  <w:vMerge w:val="continue"/>
                  <w:tcBorders>
                    <w:tl2br w:val="nil"/>
                    <w:tr2bl w:val="nil"/>
                  </w:tcBorders>
                  <w:vAlign w:val="center"/>
                </w:tcPr>
                <w:p>
                  <w:pPr>
                    <w:pStyle w:val="43"/>
                    <w:widowControl w:val="0"/>
                    <w:snapToGrid/>
                    <w:spacing w:line="240" w:lineRule="auto"/>
                    <w:ind w:firstLine="0" w:firstLineChars="0"/>
                    <w:jc w:val="center"/>
                    <w:rPr>
                      <w:sz w:val="21"/>
                      <w:szCs w:val="21"/>
                    </w:rPr>
                  </w:pPr>
                </w:p>
              </w:tc>
              <w:tc>
                <w:tcPr>
                  <w:tcW w:w="1639" w:type="dxa"/>
                  <w:tcBorders>
                    <w:tl2br w:val="nil"/>
                    <w:tr2bl w:val="nil"/>
                  </w:tcBorders>
                  <w:vAlign w:val="center"/>
                </w:tcPr>
                <w:p>
                  <w:pPr>
                    <w:pStyle w:val="64"/>
                    <w:jc w:val="center"/>
                    <w:rPr>
                      <w:rFonts w:ascii="Times New Roman" w:hAnsi="Times New Roman" w:cs="Times New Roman"/>
                      <w:sz w:val="21"/>
                      <w:szCs w:val="21"/>
                      <w:lang w:eastAsia="zh-CN"/>
                    </w:rPr>
                  </w:pPr>
                  <w:r>
                    <w:rPr>
                      <w:rFonts w:ascii="Times New Roman" w:hAnsi="Times New Roman" w:cs="Times New Roman"/>
                      <w:sz w:val="21"/>
                      <w:szCs w:val="21"/>
                      <w:lang w:val="zh-CN" w:eastAsia="zh-CN"/>
                    </w:rPr>
                    <w:t>皮带输送机</w:t>
                  </w:r>
                </w:p>
              </w:tc>
              <w:tc>
                <w:tcPr>
                  <w:tcW w:w="1247" w:type="dxa"/>
                  <w:tcBorders>
                    <w:tl2br w:val="nil"/>
                    <w:tr2bl w:val="nil"/>
                  </w:tcBorders>
                  <w:vAlign w:val="center"/>
                </w:tcPr>
                <w:p>
                  <w:pPr>
                    <w:pStyle w:val="43"/>
                    <w:widowControl w:val="0"/>
                    <w:spacing w:line="240" w:lineRule="auto"/>
                    <w:ind w:firstLine="0" w:firstLineChars="0"/>
                    <w:jc w:val="center"/>
                    <w:rPr>
                      <w:sz w:val="21"/>
                      <w:szCs w:val="21"/>
                    </w:rPr>
                  </w:pPr>
                  <w:r>
                    <w:rPr>
                      <w:rFonts w:hint="eastAsia"/>
                      <w:sz w:val="21"/>
                      <w:szCs w:val="21"/>
                    </w:rPr>
                    <w:t>60</w:t>
                  </w:r>
                </w:p>
              </w:tc>
              <w:tc>
                <w:tcPr>
                  <w:tcW w:w="794" w:type="dxa"/>
                  <w:tcBorders>
                    <w:tl2br w:val="nil"/>
                    <w:tr2bl w:val="nil"/>
                  </w:tcBorders>
                  <w:vAlign w:val="center"/>
                </w:tcPr>
                <w:p>
                  <w:pPr>
                    <w:pStyle w:val="43"/>
                    <w:widowControl w:val="0"/>
                    <w:snapToGrid/>
                    <w:spacing w:line="240" w:lineRule="auto"/>
                    <w:ind w:firstLine="0" w:firstLineChars="0"/>
                    <w:jc w:val="center"/>
                    <w:rPr>
                      <w:sz w:val="21"/>
                      <w:szCs w:val="21"/>
                    </w:rPr>
                  </w:pPr>
                  <w:r>
                    <w:rPr>
                      <w:rFonts w:hint="eastAsia"/>
                      <w:sz w:val="21"/>
                      <w:szCs w:val="21"/>
                    </w:rPr>
                    <w:t>35</w:t>
                  </w:r>
                </w:p>
              </w:tc>
              <w:tc>
                <w:tcPr>
                  <w:tcW w:w="905" w:type="dxa"/>
                  <w:tcBorders>
                    <w:tl2br w:val="nil"/>
                    <w:tr2bl w:val="nil"/>
                  </w:tcBorders>
                  <w:vAlign w:val="center"/>
                </w:tcPr>
                <w:p>
                  <w:pPr>
                    <w:pStyle w:val="43"/>
                    <w:widowControl w:val="0"/>
                    <w:snapToGrid/>
                    <w:spacing w:line="240" w:lineRule="auto"/>
                    <w:ind w:firstLine="0" w:firstLineChars="0"/>
                    <w:jc w:val="center"/>
                    <w:rPr>
                      <w:sz w:val="21"/>
                      <w:szCs w:val="21"/>
                    </w:rPr>
                  </w:pPr>
                  <w:r>
                    <w:rPr>
                      <w:rFonts w:hint="eastAsia"/>
                      <w:sz w:val="21"/>
                      <w:szCs w:val="21"/>
                    </w:rPr>
                    <w:t>60</w:t>
                  </w:r>
                </w:p>
              </w:tc>
              <w:tc>
                <w:tcPr>
                  <w:tcW w:w="991" w:type="dxa"/>
                  <w:tcBorders>
                    <w:tl2br w:val="nil"/>
                    <w:tr2bl w:val="nil"/>
                  </w:tcBorders>
                  <w:vAlign w:val="center"/>
                </w:tcPr>
                <w:p>
                  <w:pPr>
                    <w:pStyle w:val="43"/>
                    <w:widowControl w:val="0"/>
                    <w:snapToGrid/>
                    <w:spacing w:line="240" w:lineRule="auto"/>
                    <w:ind w:firstLine="0" w:firstLineChars="0"/>
                    <w:jc w:val="center"/>
                    <w:rPr>
                      <w:sz w:val="21"/>
                      <w:szCs w:val="21"/>
                    </w:rPr>
                  </w:pPr>
                  <w:r>
                    <w:rPr>
                      <w:rFonts w:hint="eastAsia"/>
                      <w:sz w:val="21"/>
                      <w:szCs w:val="21"/>
                    </w:rPr>
                    <w:t>20</w:t>
                  </w:r>
                </w:p>
              </w:tc>
              <w:tc>
                <w:tcPr>
                  <w:tcW w:w="886" w:type="dxa"/>
                  <w:tcBorders>
                    <w:tl2br w:val="nil"/>
                    <w:tr2bl w:val="nil"/>
                  </w:tcBorders>
                  <w:vAlign w:val="center"/>
                </w:tcPr>
                <w:p>
                  <w:pPr>
                    <w:pStyle w:val="43"/>
                    <w:widowControl w:val="0"/>
                    <w:snapToGrid/>
                    <w:spacing w:line="240" w:lineRule="auto"/>
                    <w:ind w:firstLine="0" w:firstLineChars="0"/>
                    <w:jc w:val="center"/>
                    <w:rPr>
                      <w:sz w:val="21"/>
                      <w:szCs w:val="21"/>
                    </w:rPr>
                  </w:pPr>
                  <w:r>
                    <w:rPr>
                      <w:rFonts w:hint="eastAsia"/>
                      <w:sz w:val="21"/>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756" w:type="dxa"/>
                  <w:vMerge w:val="continue"/>
                  <w:tcBorders>
                    <w:tl2br w:val="nil"/>
                    <w:tr2bl w:val="nil"/>
                  </w:tcBorders>
                  <w:vAlign w:val="center"/>
                </w:tcPr>
                <w:p>
                  <w:pPr>
                    <w:pStyle w:val="43"/>
                    <w:widowControl w:val="0"/>
                    <w:snapToGrid/>
                    <w:spacing w:line="240" w:lineRule="auto"/>
                    <w:ind w:firstLine="0" w:firstLineChars="0"/>
                    <w:jc w:val="center"/>
                    <w:rPr>
                      <w:sz w:val="21"/>
                      <w:szCs w:val="21"/>
                    </w:rPr>
                  </w:pPr>
                </w:p>
              </w:tc>
              <w:tc>
                <w:tcPr>
                  <w:tcW w:w="1639" w:type="dxa"/>
                  <w:tcBorders>
                    <w:tl2br w:val="nil"/>
                    <w:tr2bl w:val="nil"/>
                  </w:tcBorders>
                  <w:vAlign w:val="center"/>
                </w:tcPr>
                <w:p>
                  <w:pPr>
                    <w:pStyle w:val="64"/>
                    <w:jc w:val="center"/>
                    <w:rPr>
                      <w:rFonts w:ascii="Times New Roman" w:hAnsi="Times New Roman" w:cs="Times New Roman"/>
                      <w:sz w:val="21"/>
                      <w:szCs w:val="21"/>
                      <w:lang w:eastAsia="zh-CN"/>
                    </w:rPr>
                  </w:pPr>
                  <w:r>
                    <w:rPr>
                      <w:rFonts w:ascii="Times New Roman" w:hAnsi="Times New Roman" w:cs="Times New Roman"/>
                      <w:sz w:val="21"/>
                      <w:szCs w:val="21"/>
                      <w:lang w:val="zh-CN" w:eastAsia="zh-CN"/>
                    </w:rPr>
                    <w:t>振动筛</w:t>
                  </w:r>
                </w:p>
              </w:tc>
              <w:tc>
                <w:tcPr>
                  <w:tcW w:w="1247" w:type="dxa"/>
                  <w:tcBorders>
                    <w:tl2br w:val="nil"/>
                    <w:tr2bl w:val="nil"/>
                  </w:tcBorders>
                  <w:vAlign w:val="center"/>
                </w:tcPr>
                <w:p>
                  <w:pPr>
                    <w:pStyle w:val="43"/>
                    <w:widowControl w:val="0"/>
                    <w:spacing w:line="240" w:lineRule="auto"/>
                    <w:ind w:firstLine="0" w:firstLineChars="0"/>
                    <w:jc w:val="center"/>
                    <w:rPr>
                      <w:sz w:val="21"/>
                      <w:szCs w:val="21"/>
                    </w:rPr>
                  </w:pPr>
                  <w:r>
                    <w:rPr>
                      <w:rFonts w:hint="eastAsia"/>
                      <w:sz w:val="21"/>
                      <w:szCs w:val="21"/>
                    </w:rPr>
                    <w:t>70</w:t>
                  </w:r>
                </w:p>
              </w:tc>
              <w:tc>
                <w:tcPr>
                  <w:tcW w:w="794" w:type="dxa"/>
                  <w:tcBorders>
                    <w:tl2br w:val="nil"/>
                    <w:tr2bl w:val="nil"/>
                  </w:tcBorders>
                  <w:vAlign w:val="center"/>
                </w:tcPr>
                <w:p>
                  <w:pPr>
                    <w:pStyle w:val="43"/>
                    <w:widowControl w:val="0"/>
                    <w:snapToGrid/>
                    <w:spacing w:line="240" w:lineRule="auto"/>
                    <w:ind w:firstLine="0" w:firstLineChars="0"/>
                    <w:jc w:val="center"/>
                    <w:rPr>
                      <w:sz w:val="21"/>
                      <w:szCs w:val="21"/>
                    </w:rPr>
                  </w:pPr>
                  <w:r>
                    <w:rPr>
                      <w:rFonts w:hint="eastAsia"/>
                      <w:sz w:val="21"/>
                      <w:szCs w:val="21"/>
                    </w:rPr>
                    <w:t>20</w:t>
                  </w:r>
                </w:p>
              </w:tc>
              <w:tc>
                <w:tcPr>
                  <w:tcW w:w="905" w:type="dxa"/>
                  <w:tcBorders>
                    <w:tl2br w:val="nil"/>
                    <w:tr2bl w:val="nil"/>
                  </w:tcBorders>
                  <w:vAlign w:val="center"/>
                </w:tcPr>
                <w:p>
                  <w:pPr>
                    <w:pStyle w:val="43"/>
                    <w:widowControl w:val="0"/>
                    <w:snapToGrid/>
                    <w:spacing w:line="240" w:lineRule="auto"/>
                    <w:ind w:firstLine="0" w:firstLineChars="0"/>
                    <w:jc w:val="center"/>
                    <w:rPr>
                      <w:sz w:val="21"/>
                      <w:szCs w:val="21"/>
                    </w:rPr>
                  </w:pPr>
                  <w:r>
                    <w:rPr>
                      <w:rFonts w:hint="eastAsia"/>
                      <w:sz w:val="21"/>
                      <w:szCs w:val="21"/>
                    </w:rPr>
                    <w:t>20</w:t>
                  </w:r>
                </w:p>
              </w:tc>
              <w:tc>
                <w:tcPr>
                  <w:tcW w:w="991" w:type="dxa"/>
                  <w:tcBorders>
                    <w:tl2br w:val="nil"/>
                    <w:tr2bl w:val="nil"/>
                  </w:tcBorders>
                  <w:vAlign w:val="center"/>
                </w:tcPr>
                <w:p>
                  <w:pPr>
                    <w:pStyle w:val="43"/>
                    <w:widowControl w:val="0"/>
                    <w:snapToGrid/>
                    <w:spacing w:line="240" w:lineRule="auto"/>
                    <w:ind w:firstLine="0" w:firstLineChars="0"/>
                    <w:jc w:val="center"/>
                    <w:rPr>
                      <w:sz w:val="21"/>
                      <w:szCs w:val="21"/>
                    </w:rPr>
                  </w:pPr>
                  <w:r>
                    <w:rPr>
                      <w:rFonts w:hint="eastAsia"/>
                      <w:sz w:val="21"/>
                      <w:szCs w:val="21"/>
                    </w:rPr>
                    <w:t>80</w:t>
                  </w:r>
                </w:p>
              </w:tc>
              <w:tc>
                <w:tcPr>
                  <w:tcW w:w="886" w:type="dxa"/>
                  <w:tcBorders>
                    <w:tl2br w:val="nil"/>
                    <w:tr2bl w:val="nil"/>
                  </w:tcBorders>
                  <w:vAlign w:val="center"/>
                </w:tcPr>
                <w:p>
                  <w:pPr>
                    <w:pStyle w:val="43"/>
                    <w:widowControl w:val="0"/>
                    <w:snapToGrid/>
                    <w:spacing w:line="240" w:lineRule="auto"/>
                    <w:ind w:firstLine="0" w:firstLineChars="0"/>
                    <w:jc w:val="center"/>
                    <w:rPr>
                      <w:sz w:val="21"/>
                      <w:szCs w:val="21"/>
                    </w:rPr>
                  </w:pPr>
                  <w:r>
                    <w:rPr>
                      <w:rFonts w:hint="eastAsia"/>
                      <w:sz w:val="21"/>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756" w:type="dxa"/>
                  <w:vMerge w:val="continue"/>
                  <w:tcBorders>
                    <w:tl2br w:val="nil"/>
                    <w:tr2bl w:val="nil"/>
                  </w:tcBorders>
                  <w:vAlign w:val="center"/>
                </w:tcPr>
                <w:p>
                  <w:pPr>
                    <w:pStyle w:val="43"/>
                    <w:widowControl w:val="0"/>
                    <w:snapToGrid/>
                    <w:spacing w:line="240" w:lineRule="auto"/>
                    <w:ind w:firstLine="0" w:firstLineChars="0"/>
                    <w:jc w:val="center"/>
                    <w:rPr>
                      <w:sz w:val="21"/>
                      <w:szCs w:val="21"/>
                    </w:rPr>
                  </w:pPr>
                </w:p>
              </w:tc>
              <w:tc>
                <w:tcPr>
                  <w:tcW w:w="1639" w:type="dxa"/>
                  <w:tcBorders>
                    <w:tl2br w:val="nil"/>
                    <w:tr2bl w:val="nil"/>
                  </w:tcBorders>
                  <w:vAlign w:val="center"/>
                </w:tcPr>
                <w:p>
                  <w:pPr>
                    <w:pStyle w:val="64"/>
                    <w:jc w:val="center"/>
                    <w:rPr>
                      <w:rFonts w:ascii="Times New Roman" w:hAnsi="Times New Roman" w:cs="Times New Roman"/>
                      <w:sz w:val="21"/>
                      <w:szCs w:val="21"/>
                      <w:lang w:eastAsia="zh-CN"/>
                    </w:rPr>
                  </w:pPr>
                  <w:r>
                    <w:rPr>
                      <w:rFonts w:hint="eastAsia" w:ascii="Times New Roman" w:hAnsi="Times New Roman" w:cs="Times New Roman"/>
                      <w:sz w:val="21"/>
                      <w:szCs w:val="21"/>
                      <w:lang w:eastAsia="zh-CN"/>
                    </w:rPr>
                    <w:t>滚筒筛</w:t>
                  </w:r>
                </w:p>
              </w:tc>
              <w:tc>
                <w:tcPr>
                  <w:tcW w:w="1247" w:type="dxa"/>
                  <w:tcBorders>
                    <w:tl2br w:val="nil"/>
                    <w:tr2bl w:val="nil"/>
                  </w:tcBorders>
                  <w:vAlign w:val="center"/>
                </w:tcPr>
                <w:p>
                  <w:pPr>
                    <w:pStyle w:val="43"/>
                    <w:widowControl w:val="0"/>
                    <w:spacing w:line="240" w:lineRule="auto"/>
                    <w:ind w:firstLine="0" w:firstLineChars="0"/>
                    <w:jc w:val="center"/>
                    <w:rPr>
                      <w:sz w:val="21"/>
                      <w:szCs w:val="21"/>
                    </w:rPr>
                  </w:pPr>
                  <w:r>
                    <w:rPr>
                      <w:rFonts w:hint="eastAsia"/>
                      <w:sz w:val="21"/>
                      <w:szCs w:val="21"/>
                    </w:rPr>
                    <w:t>60</w:t>
                  </w:r>
                </w:p>
              </w:tc>
              <w:tc>
                <w:tcPr>
                  <w:tcW w:w="794" w:type="dxa"/>
                  <w:tcBorders>
                    <w:tl2br w:val="nil"/>
                    <w:tr2bl w:val="nil"/>
                  </w:tcBorders>
                  <w:vAlign w:val="center"/>
                </w:tcPr>
                <w:p>
                  <w:pPr>
                    <w:pStyle w:val="43"/>
                    <w:widowControl w:val="0"/>
                    <w:snapToGrid/>
                    <w:spacing w:line="240" w:lineRule="auto"/>
                    <w:ind w:firstLine="0" w:firstLineChars="0"/>
                    <w:jc w:val="center"/>
                    <w:rPr>
                      <w:sz w:val="21"/>
                      <w:szCs w:val="21"/>
                    </w:rPr>
                  </w:pPr>
                  <w:r>
                    <w:rPr>
                      <w:rFonts w:hint="eastAsia"/>
                      <w:sz w:val="21"/>
                      <w:szCs w:val="21"/>
                    </w:rPr>
                    <w:t>20</w:t>
                  </w:r>
                </w:p>
              </w:tc>
              <w:tc>
                <w:tcPr>
                  <w:tcW w:w="905" w:type="dxa"/>
                  <w:tcBorders>
                    <w:tl2br w:val="nil"/>
                    <w:tr2bl w:val="nil"/>
                  </w:tcBorders>
                  <w:vAlign w:val="center"/>
                </w:tcPr>
                <w:p>
                  <w:pPr>
                    <w:pStyle w:val="43"/>
                    <w:widowControl w:val="0"/>
                    <w:snapToGrid/>
                    <w:spacing w:line="240" w:lineRule="auto"/>
                    <w:ind w:firstLine="0" w:firstLineChars="0"/>
                    <w:jc w:val="center"/>
                    <w:rPr>
                      <w:sz w:val="21"/>
                      <w:szCs w:val="21"/>
                    </w:rPr>
                  </w:pPr>
                  <w:r>
                    <w:rPr>
                      <w:rFonts w:hint="eastAsia"/>
                      <w:sz w:val="21"/>
                      <w:szCs w:val="21"/>
                    </w:rPr>
                    <w:t>70</w:t>
                  </w:r>
                </w:p>
              </w:tc>
              <w:tc>
                <w:tcPr>
                  <w:tcW w:w="991" w:type="dxa"/>
                  <w:tcBorders>
                    <w:tl2br w:val="nil"/>
                    <w:tr2bl w:val="nil"/>
                  </w:tcBorders>
                  <w:vAlign w:val="center"/>
                </w:tcPr>
                <w:p>
                  <w:pPr>
                    <w:pStyle w:val="43"/>
                    <w:widowControl w:val="0"/>
                    <w:snapToGrid/>
                    <w:spacing w:line="240" w:lineRule="auto"/>
                    <w:ind w:firstLine="0" w:firstLineChars="0"/>
                    <w:jc w:val="center"/>
                    <w:rPr>
                      <w:sz w:val="21"/>
                      <w:szCs w:val="21"/>
                    </w:rPr>
                  </w:pPr>
                  <w:r>
                    <w:rPr>
                      <w:rFonts w:hint="eastAsia"/>
                      <w:sz w:val="21"/>
                      <w:szCs w:val="21"/>
                    </w:rPr>
                    <w:t>60</w:t>
                  </w:r>
                </w:p>
              </w:tc>
              <w:tc>
                <w:tcPr>
                  <w:tcW w:w="886" w:type="dxa"/>
                  <w:tcBorders>
                    <w:tl2br w:val="nil"/>
                    <w:tr2bl w:val="nil"/>
                  </w:tcBorders>
                  <w:vAlign w:val="center"/>
                </w:tcPr>
                <w:p>
                  <w:pPr>
                    <w:pStyle w:val="43"/>
                    <w:widowControl w:val="0"/>
                    <w:snapToGrid/>
                    <w:spacing w:line="240" w:lineRule="auto"/>
                    <w:ind w:firstLine="0" w:firstLineChars="0"/>
                    <w:jc w:val="center"/>
                    <w:rPr>
                      <w:sz w:val="21"/>
                      <w:szCs w:val="21"/>
                    </w:rPr>
                  </w:pPr>
                  <w:r>
                    <w:rPr>
                      <w:rFonts w:hint="eastAsia"/>
                      <w:sz w:val="21"/>
                      <w:szCs w:val="21"/>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756" w:type="dxa"/>
                  <w:vMerge w:val="continue"/>
                  <w:tcBorders>
                    <w:tl2br w:val="nil"/>
                    <w:tr2bl w:val="nil"/>
                  </w:tcBorders>
                  <w:vAlign w:val="center"/>
                </w:tcPr>
                <w:p>
                  <w:pPr>
                    <w:pStyle w:val="43"/>
                    <w:widowControl w:val="0"/>
                    <w:snapToGrid/>
                    <w:spacing w:line="240" w:lineRule="auto"/>
                    <w:ind w:firstLine="0" w:firstLineChars="0"/>
                    <w:jc w:val="center"/>
                    <w:rPr>
                      <w:sz w:val="21"/>
                      <w:szCs w:val="21"/>
                    </w:rPr>
                  </w:pPr>
                </w:p>
              </w:tc>
              <w:tc>
                <w:tcPr>
                  <w:tcW w:w="1639" w:type="dxa"/>
                  <w:tcBorders>
                    <w:tl2br w:val="nil"/>
                    <w:tr2bl w:val="nil"/>
                  </w:tcBorders>
                  <w:vAlign w:val="center"/>
                </w:tcPr>
                <w:p>
                  <w:pPr>
                    <w:pStyle w:val="64"/>
                    <w:jc w:val="center"/>
                    <w:rPr>
                      <w:rFonts w:ascii="Times New Roman" w:hAnsi="Times New Roman" w:cs="Times New Roman"/>
                      <w:sz w:val="21"/>
                      <w:szCs w:val="21"/>
                      <w:lang w:eastAsia="zh-CN"/>
                    </w:rPr>
                  </w:pPr>
                  <w:r>
                    <w:rPr>
                      <w:rFonts w:hint="eastAsia" w:ascii="Times New Roman" w:hAnsi="Times New Roman" w:cs="Times New Roman"/>
                      <w:sz w:val="21"/>
                      <w:szCs w:val="21"/>
                      <w:lang w:eastAsia="zh-CN"/>
                    </w:rPr>
                    <w:t>四排洗沙轮</w:t>
                  </w:r>
                </w:p>
              </w:tc>
              <w:tc>
                <w:tcPr>
                  <w:tcW w:w="1247" w:type="dxa"/>
                  <w:tcBorders>
                    <w:tl2br w:val="nil"/>
                    <w:tr2bl w:val="nil"/>
                  </w:tcBorders>
                  <w:vAlign w:val="center"/>
                </w:tcPr>
                <w:p>
                  <w:pPr>
                    <w:pStyle w:val="43"/>
                    <w:widowControl w:val="0"/>
                    <w:spacing w:line="240" w:lineRule="auto"/>
                    <w:ind w:firstLine="0" w:firstLineChars="0"/>
                    <w:jc w:val="center"/>
                    <w:rPr>
                      <w:sz w:val="21"/>
                      <w:szCs w:val="21"/>
                    </w:rPr>
                  </w:pPr>
                  <w:r>
                    <w:rPr>
                      <w:rFonts w:hint="eastAsia"/>
                      <w:sz w:val="21"/>
                      <w:szCs w:val="21"/>
                    </w:rPr>
                    <w:t>60</w:t>
                  </w:r>
                </w:p>
              </w:tc>
              <w:tc>
                <w:tcPr>
                  <w:tcW w:w="794" w:type="dxa"/>
                  <w:tcBorders>
                    <w:tl2br w:val="nil"/>
                    <w:tr2bl w:val="nil"/>
                  </w:tcBorders>
                  <w:vAlign w:val="center"/>
                </w:tcPr>
                <w:p>
                  <w:pPr>
                    <w:pStyle w:val="43"/>
                    <w:widowControl w:val="0"/>
                    <w:snapToGrid/>
                    <w:spacing w:line="240" w:lineRule="auto"/>
                    <w:ind w:firstLine="0" w:firstLineChars="0"/>
                    <w:jc w:val="center"/>
                    <w:rPr>
                      <w:sz w:val="21"/>
                      <w:szCs w:val="21"/>
                    </w:rPr>
                  </w:pPr>
                  <w:r>
                    <w:rPr>
                      <w:rFonts w:hint="eastAsia"/>
                      <w:sz w:val="21"/>
                      <w:szCs w:val="21"/>
                    </w:rPr>
                    <w:t>20</w:t>
                  </w:r>
                </w:p>
              </w:tc>
              <w:tc>
                <w:tcPr>
                  <w:tcW w:w="905" w:type="dxa"/>
                  <w:tcBorders>
                    <w:tl2br w:val="nil"/>
                    <w:tr2bl w:val="nil"/>
                  </w:tcBorders>
                  <w:vAlign w:val="center"/>
                </w:tcPr>
                <w:p>
                  <w:pPr>
                    <w:pStyle w:val="43"/>
                    <w:widowControl w:val="0"/>
                    <w:snapToGrid/>
                    <w:spacing w:line="240" w:lineRule="auto"/>
                    <w:ind w:firstLine="0" w:firstLineChars="0"/>
                    <w:jc w:val="center"/>
                    <w:rPr>
                      <w:sz w:val="21"/>
                      <w:szCs w:val="21"/>
                    </w:rPr>
                  </w:pPr>
                  <w:r>
                    <w:rPr>
                      <w:rFonts w:hint="eastAsia"/>
                      <w:sz w:val="21"/>
                      <w:szCs w:val="21"/>
                    </w:rPr>
                    <w:t>70</w:t>
                  </w:r>
                </w:p>
              </w:tc>
              <w:tc>
                <w:tcPr>
                  <w:tcW w:w="991" w:type="dxa"/>
                  <w:tcBorders>
                    <w:tl2br w:val="nil"/>
                    <w:tr2bl w:val="nil"/>
                  </w:tcBorders>
                  <w:vAlign w:val="center"/>
                </w:tcPr>
                <w:p>
                  <w:pPr>
                    <w:pStyle w:val="43"/>
                    <w:widowControl w:val="0"/>
                    <w:snapToGrid/>
                    <w:spacing w:line="240" w:lineRule="auto"/>
                    <w:ind w:firstLine="0" w:firstLineChars="0"/>
                    <w:jc w:val="center"/>
                    <w:rPr>
                      <w:sz w:val="21"/>
                      <w:szCs w:val="21"/>
                    </w:rPr>
                  </w:pPr>
                  <w:r>
                    <w:rPr>
                      <w:rFonts w:hint="eastAsia"/>
                      <w:sz w:val="21"/>
                      <w:szCs w:val="21"/>
                    </w:rPr>
                    <w:t>60</w:t>
                  </w:r>
                </w:p>
              </w:tc>
              <w:tc>
                <w:tcPr>
                  <w:tcW w:w="886" w:type="dxa"/>
                  <w:tcBorders>
                    <w:tl2br w:val="nil"/>
                    <w:tr2bl w:val="nil"/>
                  </w:tcBorders>
                  <w:vAlign w:val="center"/>
                </w:tcPr>
                <w:p>
                  <w:pPr>
                    <w:pStyle w:val="43"/>
                    <w:widowControl w:val="0"/>
                    <w:snapToGrid/>
                    <w:spacing w:line="240" w:lineRule="auto"/>
                    <w:ind w:firstLine="0" w:firstLineChars="0"/>
                    <w:jc w:val="center"/>
                    <w:rPr>
                      <w:sz w:val="21"/>
                      <w:szCs w:val="21"/>
                    </w:rPr>
                  </w:pPr>
                  <w:r>
                    <w:rPr>
                      <w:rFonts w:hint="eastAsia"/>
                      <w:sz w:val="21"/>
                      <w:szCs w:val="21"/>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756" w:type="dxa"/>
                  <w:vMerge w:val="continue"/>
                  <w:tcBorders>
                    <w:tl2br w:val="nil"/>
                    <w:tr2bl w:val="nil"/>
                  </w:tcBorders>
                  <w:vAlign w:val="center"/>
                </w:tcPr>
                <w:p>
                  <w:pPr>
                    <w:pStyle w:val="43"/>
                    <w:widowControl w:val="0"/>
                    <w:snapToGrid/>
                    <w:spacing w:line="240" w:lineRule="auto"/>
                    <w:ind w:firstLine="0" w:firstLineChars="0"/>
                    <w:jc w:val="center"/>
                    <w:rPr>
                      <w:sz w:val="21"/>
                      <w:szCs w:val="21"/>
                    </w:rPr>
                  </w:pPr>
                </w:p>
              </w:tc>
              <w:tc>
                <w:tcPr>
                  <w:tcW w:w="1639" w:type="dxa"/>
                  <w:tcBorders>
                    <w:tl2br w:val="nil"/>
                    <w:tr2bl w:val="nil"/>
                  </w:tcBorders>
                  <w:vAlign w:val="center"/>
                </w:tcPr>
                <w:p>
                  <w:pPr>
                    <w:pStyle w:val="64"/>
                    <w:jc w:val="center"/>
                    <w:rPr>
                      <w:rFonts w:ascii="Times New Roman" w:hAnsi="Times New Roman" w:cs="Times New Roman"/>
                      <w:sz w:val="21"/>
                      <w:szCs w:val="21"/>
                      <w:lang w:eastAsia="zh-CN"/>
                    </w:rPr>
                  </w:pPr>
                  <w:r>
                    <w:rPr>
                      <w:rFonts w:hint="eastAsia" w:ascii="Times New Roman" w:hAnsi="Times New Roman" w:cs="Times New Roman"/>
                      <w:sz w:val="21"/>
                      <w:szCs w:val="21"/>
                      <w:lang w:eastAsia="zh-CN"/>
                    </w:rPr>
                    <w:t>托盘筛</w:t>
                  </w:r>
                </w:p>
              </w:tc>
              <w:tc>
                <w:tcPr>
                  <w:tcW w:w="1247" w:type="dxa"/>
                  <w:tcBorders>
                    <w:tl2br w:val="nil"/>
                    <w:tr2bl w:val="nil"/>
                  </w:tcBorders>
                  <w:vAlign w:val="center"/>
                </w:tcPr>
                <w:p>
                  <w:pPr>
                    <w:pStyle w:val="71"/>
                  </w:pPr>
                  <w:r>
                    <w:rPr>
                      <w:rFonts w:hint="eastAsia"/>
                      <w:lang w:bidi="he-IL"/>
                    </w:rPr>
                    <w:t>60</w:t>
                  </w:r>
                </w:p>
              </w:tc>
              <w:tc>
                <w:tcPr>
                  <w:tcW w:w="794" w:type="dxa"/>
                  <w:tcBorders>
                    <w:tl2br w:val="nil"/>
                    <w:tr2bl w:val="nil"/>
                  </w:tcBorders>
                  <w:vAlign w:val="center"/>
                </w:tcPr>
                <w:p>
                  <w:pPr>
                    <w:pStyle w:val="43"/>
                    <w:widowControl w:val="0"/>
                    <w:snapToGrid/>
                    <w:spacing w:line="240" w:lineRule="auto"/>
                    <w:ind w:firstLine="0" w:firstLineChars="0"/>
                    <w:jc w:val="center"/>
                    <w:rPr>
                      <w:sz w:val="21"/>
                      <w:szCs w:val="21"/>
                    </w:rPr>
                  </w:pPr>
                  <w:r>
                    <w:rPr>
                      <w:rFonts w:hint="eastAsia"/>
                      <w:sz w:val="21"/>
                      <w:szCs w:val="21"/>
                    </w:rPr>
                    <w:t>20</w:t>
                  </w:r>
                </w:p>
              </w:tc>
              <w:tc>
                <w:tcPr>
                  <w:tcW w:w="905" w:type="dxa"/>
                  <w:tcBorders>
                    <w:tl2br w:val="nil"/>
                    <w:tr2bl w:val="nil"/>
                  </w:tcBorders>
                  <w:vAlign w:val="center"/>
                </w:tcPr>
                <w:p>
                  <w:pPr>
                    <w:pStyle w:val="43"/>
                    <w:widowControl w:val="0"/>
                    <w:snapToGrid/>
                    <w:spacing w:line="240" w:lineRule="auto"/>
                    <w:ind w:firstLine="0" w:firstLineChars="0"/>
                    <w:jc w:val="center"/>
                    <w:rPr>
                      <w:sz w:val="21"/>
                      <w:szCs w:val="21"/>
                    </w:rPr>
                  </w:pPr>
                  <w:r>
                    <w:rPr>
                      <w:rFonts w:hint="eastAsia"/>
                      <w:sz w:val="21"/>
                      <w:szCs w:val="21"/>
                    </w:rPr>
                    <w:t>70</w:t>
                  </w:r>
                </w:p>
              </w:tc>
              <w:tc>
                <w:tcPr>
                  <w:tcW w:w="991" w:type="dxa"/>
                  <w:tcBorders>
                    <w:tl2br w:val="nil"/>
                    <w:tr2bl w:val="nil"/>
                  </w:tcBorders>
                  <w:vAlign w:val="center"/>
                </w:tcPr>
                <w:p>
                  <w:pPr>
                    <w:pStyle w:val="43"/>
                    <w:widowControl w:val="0"/>
                    <w:snapToGrid/>
                    <w:spacing w:line="240" w:lineRule="auto"/>
                    <w:ind w:firstLine="0" w:firstLineChars="0"/>
                    <w:jc w:val="center"/>
                    <w:rPr>
                      <w:sz w:val="21"/>
                      <w:szCs w:val="21"/>
                    </w:rPr>
                  </w:pPr>
                  <w:r>
                    <w:rPr>
                      <w:rFonts w:hint="eastAsia"/>
                      <w:sz w:val="21"/>
                      <w:szCs w:val="21"/>
                    </w:rPr>
                    <w:t>60</w:t>
                  </w:r>
                </w:p>
              </w:tc>
              <w:tc>
                <w:tcPr>
                  <w:tcW w:w="886" w:type="dxa"/>
                  <w:tcBorders>
                    <w:tl2br w:val="nil"/>
                    <w:tr2bl w:val="nil"/>
                  </w:tcBorders>
                  <w:vAlign w:val="center"/>
                </w:tcPr>
                <w:p>
                  <w:pPr>
                    <w:pStyle w:val="43"/>
                    <w:widowControl w:val="0"/>
                    <w:snapToGrid/>
                    <w:spacing w:line="240" w:lineRule="auto"/>
                    <w:ind w:firstLine="0" w:firstLineChars="0"/>
                    <w:jc w:val="center"/>
                    <w:rPr>
                      <w:sz w:val="21"/>
                      <w:szCs w:val="21"/>
                    </w:rPr>
                  </w:pPr>
                  <w:r>
                    <w:rPr>
                      <w:rFonts w:hint="eastAsia"/>
                      <w:sz w:val="21"/>
                      <w:szCs w:val="21"/>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756" w:type="dxa"/>
                  <w:vMerge w:val="continue"/>
                  <w:tcBorders>
                    <w:tl2br w:val="nil"/>
                    <w:tr2bl w:val="nil"/>
                  </w:tcBorders>
                  <w:vAlign w:val="center"/>
                </w:tcPr>
                <w:p>
                  <w:pPr>
                    <w:pStyle w:val="43"/>
                    <w:widowControl w:val="0"/>
                    <w:snapToGrid/>
                    <w:spacing w:line="240" w:lineRule="auto"/>
                    <w:ind w:firstLine="0" w:firstLineChars="0"/>
                    <w:jc w:val="center"/>
                    <w:rPr>
                      <w:sz w:val="21"/>
                      <w:szCs w:val="21"/>
                    </w:rPr>
                  </w:pPr>
                </w:p>
              </w:tc>
              <w:tc>
                <w:tcPr>
                  <w:tcW w:w="1639" w:type="dxa"/>
                  <w:tcBorders>
                    <w:tl2br w:val="nil"/>
                    <w:tr2bl w:val="nil"/>
                  </w:tcBorders>
                  <w:vAlign w:val="center"/>
                </w:tcPr>
                <w:p>
                  <w:pPr>
                    <w:pStyle w:val="64"/>
                    <w:jc w:val="center"/>
                    <w:rPr>
                      <w:rFonts w:ascii="Times New Roman" w:hAnsi="Times New Roman" w:cs="Times New Roman"/>
                      <w:sz w:val="21"/>
                      <w:szCs w:val="21"/>
                      <w:lang w:eastAsia="zh-CN"/>
                    </w:rPr>
                  </w:pPr>
                  <w:r>
                    <w:rPr>
                      <w:rFonts w:hint="eastAsia" w:ascii="Times New Roman" w:hAnsi="Times New Roman" w:cs="Times New Roman"/>
                      <w:sz w:val="21"/>
                      <w:szCs w:val="21"/>
                      <w:lang w:eastAsia="zh-CN"/>
                    </w:rPr>
                    <w:t>压滤机</w:t>
                  </w:r>
                </w:p>
              </w:tc>
              <w:tc>
                <w:tcPr>
                  <w:tcW w:w="1247" w:type="dxa"/>
                  <w:tcBorders>
                    <w:tl2br w:val="nil"/>
                    <w:tr2bl w:val="nil"/>
                  </w:tcBorders>
                  <w:vAlign w:val="center"/>
                </w:tcPr>
                <w:p>
                  <w:pPr>
                    <w:pStyle w:val="43"/>
                    <w:widowControl w:val="0"/>
                    <w:spacing w:line="240" w:lineRule="auto"/>
                    <w:ind w:firstLine="0" w:firstLineChars="0"/>
                    <w:jc w:val="center"/>
                    <w:rPr>
                      <w:sz w:val="21"/>
                      <w:szCs w:val="21"/>
                    </w:rPr>
                  </w:pPr>
                  <w:r>
                    <w:rPr>
                      <w:rFonts w:hint="eastAsia"/>
                      <w:sz w:val="21"/>
                      <w:szCs w:val="21"/>
                    </w:rPr>
                    <w:t>75</w:t>
                  </w:r>
                </w:p>
              </w:tc>
              <w:tc>
                <w:tcPr>
                  <w:tcW w:w="794" w:type="dxa"/>
                  <w:tcBorders>
                    <w:tl2br w:val="nil"/>
                    <w:tr2bl w:val="nil"/>
                  </w:tcBorders>
                  <w:vAlign w:val="center"/>
                </w:tcPr>
                <w:p>
                  <w:pPr>
                    <w:pStyle w:val="43"/>
                    <w:widowControl w:val="0"/>
                    <w:snapToGrid/>
                    <w:spacing w:line="240" w:lineRule="auto"/>
                    <w:ind w:firstLine="0" w:firstLineChars="0"/>
                    <w:jc w:val="center"/>
                    <w:rPr>
                      <w:sz w:val="21"/>
                      <w:szCs w:val="21"/>
                    </w:rPr>
                  </w:pPr>
                  <w:r>
                    <w:rPr>
                      <w:rFonts w:hint="eastAsia"/>
                      <w:sz w:val="21"/>
                      <w:szCs w:val="21"/>
                    </w:rPr>
                    <w:t>20</w:t>
                  </w:r>
                </w:p>
              </w:tc>
              <w:tc>
                <w:tcPr>
                  <w:tcW w:w="905" w:type="dxa"/>
                  <w:tcBorders>
                    <w:tl2br w:val="nil"/>
                    <w:tr2bl w:val="nil"/>
                  </w:tcBorders>
                  <w:vAlign w:val="center"/>
                </w:tcPr>
                <w:p>
                  <w:pPr>
                    <w:pStyle w:val="43"/>
                    <w:widowControl w:val="0"/>
                    <w:snapToGrid/>
                    <w:spacing w:line="240" w:lineRule="auto"/>
                    <w:ind w:firstLine="0" w:firstLineChars="0"/>
                    <w:jc w:val="center"/>
                    <w:rPr>
                      <w:sz w:val="21"/>
                      <w:szCs w:val="21"/>
                    </w:rPr>
                  </w:pPr>
                  <w:r>
                    <w:rPr>
                      <w:rFonts w:hint="eastAsia"/>
                      <w:sz w:val="21"/>
                      <w:szCs w:val="21"/>
                    </w:rPr>
                    <w:t>70</w:t>
                  </w:r>
                </w:p>
              </w:tc>
              <w:tc>
                <w:tcPr>
                  <w:tcW w:w="991" w:type="dxa"/>
                  <w:tcBorders>
                    <w:tl2br w:val="nil"/>
                    <w:tr2bl w:val="nil"/>
                  </w:tcBorders>
                  <w:vAlign w:val="center"/>
                </w:tcPr>
                <w:p>
                  <w:pPr>
                    <w:pStyle w:val="43"/>
                    <w:widowControl w:val="0"/>
                    <w:snapToGrid/>
                    <w:spacing w:line="240" w:lineRule="auto"/>
                    <w:ind w:firstLine="0" w:firstLineChars="0"/>
                    <w:jc w:val="center"/>
                    <w:rPr>
                      <w:sz w:val="21"/>
                      <w:szCs w:val="21"/>
                    </w:rPr>
                  </w:pPr>
                  <w:r>
                    <w:rPr>
                      <w:rFonts w:hint="eastAsia"/>
                      <w:sz w:val="21"/>
                      <w:szCs w:val="21"/>
                    </w:rPr>
                    <w:t>60</w:t>
                  </w:r>
                </w:p>
              </w:tc>
              <w:tc>
                <w:tcPr>
                  <w:tcW w:w="886" w:type="dxa"/>
                  <w:tcBorders>
                    <w:tl2br w:val="nil"/>
                    <w:tr2bl w:val="nil"/>
                  </w:tcBorders>
                  <w:vAlign w:val="center"/>
                </w:tcPr>
                <w:p>
                  <w:pPr>
                    <w:pStyle w:val="43"/>
                    <w:widowControl w:val="0"/>
                    <w:snapToGrid/>
                    <w:spacing w:line="240" w:lineRule="auto"/>
                    <w:ind w:firstLine="0" w:firstLineChars="0"/>
                    <w:jc w:val="center"/>
                    <w:rPr>
                      <w:sz w:val="21"/>
                      <w:szCs w:val="21"/>
                    </w:rPr>
                  </w:pPr>
                  <w:r>
                    <w:rPr>
                      <w:rFonts w:hint="eastAsia"/>
                      <w:sz w:val="21"/>
                      <w:szCs w:val="21"/>
                    </w:rPr>
                    <w:t>70</w:t>
                  </w:r>
                </w:p>
              </w:tc>
            </w:tr>
          </w:tbl>
          <w:p>
            <w:pPr>
              <w:pStyle w:val="70"/>
              <w:widowControl w:val="0"/>
              <w:rPr>
                <w:rFonts w:eastAsia="宋体"/>
                <w:b/>
                <w:bCs/>
                <w:sz w:val="21"/>
                <w:szCs w:val="21"/>
              </w:rPr>
            </w:pPr>
          </w:p>
          <w:p>
            <w:pPr>
              <w:pStyle w:val="70"/>
              <w:widowControl w:val="0"/>
              <w:rPr>
                <w:rFonts w:eastAsia="宋体"/>
                <w:b/>
                <w:bCs/>
                <w:sz w:val="21"/>
                <w:szCs w:val="21"/>
              </w:rPr>
            </w:pPr>
            <w:r>
              <w:rPr>
                <w:rFonts w:eastAsia="宋体"/>
                <w:b/>
                <w:bCs/>
                <w:sz w:val="21"/>
                <w:szCs w:val="21"/>
              </w:rPr>
              <w:t>表</w:t>
            </w:r>
            <w:r>
              <w:rPr>
                <w:rFonts w:hint="eastAsia" w:eastAsia="宋体"/>
                <w:b/>
                <w:bCs/>
                <w:sz w:val="21"/>
                <w:szCs w:val="21"/>
              </w:rPr>
              <w:t xml:space="preserve">4-13  </w:t>
            </w:r>
            <w:r>
              <w:rPr>
                <w:rFonts w:eastAsia="宋体"/>
                <w:b/>
                <w:bCs/>
                <w:sz w:val="21"/>
                <w:szCs w:val="21"/>
              </w:rPr>
              <w:t xml:space="preserve"> 噪声影响预测结果表</w:t>
            </w:r>
          </w:p>
          <w:tbl>
            <w:tblPr>
              <w:tblStyle w:val="29"/>
              <w:tblW w:w="72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8"/>
              <w:gridCol w:w="1007"/>
              <w:gridCol w:w="927"/>
              <w:gridCol w:w="939"/>
              <w:gridCol w:w="649"/>
              <w:gridCol w:w="840"/>
              <w:gridCol w:w="840"/>
              <w:gridCol w:w="811"/>
              <w:gridCol w:w="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388" w:type="dxa"/>
                  <w:vMerge w:val="restart"/>
                  <w:tcBorders>
                    <w:tl2br w:val="nil"/>
                    <w:tr2bl w:val="nil"/>
                  </w:tcBorders>
                  <w:vAlign w:val="center"/>
                </w:tcPr>
                <w:p>
                  <w:pPr>
                    <w:pStyle w:val="71"/>
                    <w:rPr>
                      <w:b/>
                      <w:bCs/>
                    </w:rPr>
                  </w:pPr>
                  <w:r>
                    <w:rPr>
                      <w:b/>
                      <w:bCs/>
                    </w:rPr>
                    <w:t>序号</w:t>
                  </w:r>
                </w:p>
              </w:tc>
              <w:tc>
                <w:tcPr>
                  <w:tcW w:w="1007" w:type="dxa"/>
                  <w:vMerge w:val="restart"/>
                  <w:tcBorders>
                    <w:tl2br w:val="nil"/>
                    <w:tr2bl w:val="nil"/>
                  </w:tcBorders>
                  <w:vAlign w:val="center"/>
                </w:tcPr>
                <w:p>
                  <w:pPr>
                    <w:pStyle w:val="71"/>
                    <w:rPr>
                      <w:b/>
                      <w:bCs/>
                    </w:rPr>
                  </w:pPr>
                  <w:r>
                    <w:rPr>
                      <w:b/>
                      <w:bCs/>
                    </w:rPr>
                    <w:t>生产设备</w:t>
                  </w:r>
                </w:p>
              </w:tc>
              <w:tc>
                <w:tcPr>
                  <w:tcW w:w="927" w:type="dxa"/>
                  <w:vMerge w:val="restart"/>
                  <w:tcBorders>
                    <w:tl2br w:val="nil"/>
                    <w:tr2bl w:val="nil"/>
                  </w:tcBorders>
                  <w:vAlign w:val="center"/>
                </w:tcPr>
                <w:p>
                  <w:pPr>
                    <w:pStyle w:val="71"/>
                    <w:rPr>
                      <w:b/>
                      <w:bCs/>
                    </w:rPr>
                  </w:pPr>
                  <w:r>
                    <w:rPr>
                      <w:b/>
                      <w:bCs/>
                    </w:rPr>
                    <w:t>叠加声级dB（A）</w:t>
                  </w:r>
                </w:p>
              </w:tc>
              <w:tc>
                <w:tcPr>
                  <w:tcW w:w="939" w:type="dxa"/>
                  <w:vMerge w:val="restart"/>
                  <w:tcBorders>
                    <w:tl2br w:val="nil"/>
                    <w:tr2bl w:val="nil"/>
                  </w:tcBorders>
                  <w:vAlign w:val="center"/>
                </w:tcPr>
                <w:p>
                  <w:pPr>
                    <w:pStyle w:val="71"/>
                    <w:rPr>
                      <w:b/>
                      <w:bCs/>
                    </w:rPr>
                  </w:pPr>
                  <w:r>
                    <w:rPr>
                      <w:b/>
                      <w:bCs/>
                    </w:rPr>
                    <w:t>隔声量</w:t>
                  </w:r>
                </w:p>
                <w:p>
                  <w:pPr>
                    <w:pStyle w:val="71"/>
                    <w:rPr>
                      <w:b/>
                      <w:bCs/>
                    </w:rPr>
                  </w:pPr>
                  <w:r>
                    <w:rPr>
                      <w:b/>
                      <w:bCs/>
                    </w:rPr>
                    <w:t>dB（A）</w:t>
                  </w:r>
                </w:p>
              </w:tc>
              <w:tc>
                <w:tcPr>
                  <w:tcW w:w="649" w:type="dxa"/>
                  <w:vMerge w:val="restart"/>
                  <w:tcBorders>
                    <w:tl2br w:val="nil"/>
                    <w:tr2bl w:val="nil"/>
                  </w:tcBorders>
                  <w:vAlign w:val="center"/>
                </w:tcPr>
                <w:p>
                  <w:pPr>
                    <w:pStyle w:val="71"/>
                    <w:rPr>
                      <w:b/>
                      <w:bCs/>
                    </w:rPr>
                  </w:pPr>
                  <w:r>
                    <w:rPr>
                      <w:b/>
                      <w:bCs/>
                    </w:rPr>
                    <w:t>噪声源强</w:t>
                  </w:r>
                </w:p>
              </w:tc>
              <w:tc>
                <w:tcPr>
                  <w:tcW w:w="3348" w:type="dxa"/>
                  <w:gridSpan w:val="4"/>
                  <w:tcBorders>
                    <w:tl2br w:val="nil"/>
                    <w:tr2bl w:val="nil"/>
                  </w:tcBorders>
                  <w:vAlign w:val="center"/>
                </w:tcPr>
                <w:p>
                  <w:pPr>
                    <w:pStyle w:val="71"/>
                    <w:rPr>
                      <w:b/>
                      <w:bCs/>
                    </w:rPr>
                  </w:pPr>
                  <w:r>
                    <w:rPr>
                      <w:b/>
                      <w:bCs/>
                    </w:rPr>
                    <w:t>各厂界贡献值dB(A)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88" w:type="dxa"/>
                  <w:vMerge w:val="continue"/>
                  <w:tcBorders>
                    <w:tl2br w:val="nil"/>
                    <w:tr2bl w:val="nil"/>
                  </w:tcBorders>
                  <w:vAlign w:val="center"/>
                </w:tcPr>
                <w:p>
                  <w:pPr>
                    <w:pStyle w:val="71"/>
                    <w:rPr>
                      <w:b/>
                      <w:bCs/>
                    </w:rPr>
                  </w:pPr>
                </w:p>
              </w:tc>
              <w:tc>
                <w:tcPr>
                  <w:tcW w:w="1007" w:type="dxa"/>
                  <w:vMerge w:val="continue"/>
                  <w:tcBorders>
                    <w:tl2br w:val="nil"/>
                    <w:tr2bl w:val="nil"/>
                  </w:tcBorders>
                  <w:vAlign w:val="center"/>
                </w:tcPr>
                <w:p>
                  <w:pPr>
                    <w:pStyle w:val="71"/>
                    <w:rPr>
                      <w:b/>
                      <w:bCs/>
                    </w:rPr>
                  </w:pPr>
                </w:p>
              </w:tc>
              <w:tc>
                <w:tcPr>
                  <w:tcW w:w="927" w:type="dxa"/>
                  <w:vMerge w:val="continue"/>
                  <w:tcBorders>
                    <w:tl2br w:val="nil"/>
                    <w:tr2bl w:val="nil"/>
                  </w:tcBorders>
                  <w:vAlign w:val="center"/>
                </w:tcPr>
                <w:p>
                  <w:pPr>
                    <w:pStyle w:val="71"/>
                    <w:rPr>
                      <w:b/>
                      <w:bCs/>
                    </w:rPr>
                  </w:pPr>
                </w:p>
              </w:tc>
              <w:tc>
                <w:tcPr>
                  <w:tcW w:w="939" w:type="dxa"/>
                  <w:vMerge w:val="continue"/>
                  <w:tcBorders>
                    <w:tl2br w:val="nil"/>
                    <w:tr2bl w:val="nil"/>
                  </w:tcBorders>
                  <w:vAlign w:val="center"/>
                </w:tcPr>
                <w:p>
                  <w:pPr>
                    <w:pStyle w:val="71"/>
                    <w:rPr>
                      <w:b/>
                      <w:bCs/>
                    </w:rPr>
                  </w:pPr>
                </w:p>
              </w:tc>
              <w:tc>
                <w:tcPr>
                  <w:tcW w:w="649" w:type="dxa"/>
                  <w:vMerge w:val="continue"/>
                  <w:tcBorders>
                    <w:tl2br w:val="nil"/>
                    <w:tr2bl w:val="nil"/>
                  </w:tcBorders>
                  <w:vAlign w:val="center"/>
                </w:tcPr>
                <w:p>
                  <w:pPr>
                    <w:pStyle w:val="71"/>
                    <w:rPr>
                      <w:b/>
                      <w:bCs/>
                    </w:rPr>
                  </w:pPr>
                </w:p>
              </w:tc>
              <w:tc>
                <w:tcPr>
                  <w:tcW w:w="840" w:type="dxa"/>
                  <w:tcBorders>
                    <w:tl2br w:val="nil"/>
                    <w:tr2bl w:val="nil"/>
                  </w:tcBorders>
                  <w:vAlign w:val="center"/>
                </w:tcPr>
                <w:p>
                  <w:pPr>
                    <w:jc w:val="center"/>
                    <w:rPr>
                      <w:rFonts w:ascii="Times New Roman" w:hAnsi="Times New Roman" w:eastAsia="宋体" w:cs="Times New Roman"/>
                      <w:b/>
                      <w:bCs/>
                      <w:szCs w:val="21"/>
                    </w:rPr>
                  </w:pPr>
                  <w:r>
                    <w:rPr>
                      <w:rFonts w:hint="eastAsia" w:ascii="Times New Roman" w:hAnsi="Times New Roman" w:eastAsia="宋体"/>
                      <w:b/>
                      <w:bCs/>
                      <w:szCs w:val="21"/>
                    </w:rPr>
                    <w:t>东厂界</w:t>
                  </w:r>
                </w:p>
              </w:tc>
              <w:tc>
                <w:tcPr>
                  <w:tcW w:w="840" w:type="dxa"/>
                  <w:tcBorders>
                    <w:tl2br w:val="nil"/>
                    <w:tr2bl w:val="nil"/>
                  </w:tcBorders>
                  <w:vAlign w:val="center"/>
                </w:tcPr>
                <w:p>
                  <w:pPr>
                    <w:jc w:val="center"/>
                    <w:rPr>
                      <w:rFonts w:ascii="Times New Roman" w:hAnsi="Times New Roman" w:eastAsia="宋体" w:cs="Times New Roman"/>
                      <w:b/>
                      <w:bCs/>
                      <w:szCs w:val="21"/>
                    </w:rPr>
                  </w:pPr>
                  <w:r>
                    <w:rPr>
                      <w:rFonts w:hint="eastAsia" w:ascii="Times New Roman" w:hAnsi="Times New Roman" w:eastAsia="宋体"/>
                      <w:b/>
                      <w:bCs/>
                      <w:szCs w:val="21"/>
                    </w:rPr>
                    <w:t>南厂界</w:t>
                  </w:r>
                </w:p>
              </w:tc>
              <w:tc>
                <w:tcPr>
                  <w:tcW w:w="811" w:type="dxa"/>
                  <w:tcBorders>
                    <w:tl2br w:val="nil"/>
                    <w:tr2bl w:val="nil"/>
                  </w:tcBorders>
                  <w:vAlign w:val="center"/>
                </w:tcPr>
                <w:p>
                  <w:pPr>
                    <w:jc w:val="center"/>
                    <w:rPr>
                      <w:rFonts w:ascii="Times New Roman" w:hAnsi="Times New Roman" w:eastAsia="宋体" w:cs="Times New Roman"/>
                      <w:b/>
                      <w:bCs/>
                      <w:szCs w:val="21"/>
                    </w:rPr>
                  </w:pPr>
                  <w:r>
                    <w:rPr>
                      <w:rFonts w:hint="eastAsia" w:ascii="Times New Roman" w:hAnsi="Times New Roman" w:eastAsia="宋体"/>
                      <w:b/>
                      <w:bCs/>
                      <w:szCs w:val="21"/>
                    </w:rPr>
                    <w:t>西厂界</w:t>
                  </w:r>
                </w:p>
              </w:tc>
              <w:tc>
                <w:tcPr>
                  <w:tcW w:w="857" w:type="dxa"/>
                  <w:tcBorders>
                    <w:tl2br w:val="nil"/>
                    <w:tr2bl w:val="nil"/>
                  </w:tcBorders>
                  <w:vAlign w:val="center"/>
                </w:tcPr>
                <w:p>
                  <w:pPr>
                    <w:jc w:val="center"/>
                    <w:rPr>
                      <w:rFonts w:ascii="Times New Roman" w:hAnsi="Times New Roman" w:eastAsia="宋体" w:cs="Times New Roman"/>
                      <w:b/>
                      <w:bCs/>
                      <w:szCs w:val="21"/>
                    </w:rPr>
                  </w:pPr>
                  <w:r>
                    <w:rPr>
                      <w:rFonts w:hint="eastAsia" w:ascii="Times New Roman" w:hAnsi="Times New Roman" w:eastAsia="宋体"/>
                      <w:b/>
                      <w:bCs/>
                      <w:szCs w:val="21"/>
                    </w:rPr>
                    <w:t>北厂界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388" w:type="dxa"/>
                  <w:tcBorders>
                    <w:tl2br w:val="nil"/>
                    <w:tr2bl w:val="nil"/>
                  </w:tcBorders>
                  <w:vAlign w:val="center"/>
                </w:tcPr>
                <w:p>
                  <w:pPr>
                    <w:pStyle w:val="54"/>
                    <w:adjustRightInd w:val="0"/>
                    <w:snapToGrid w:val="0"/>
                    <w:jc w:val="center"/>
                    <w:rPr>
                      <w:rFonts w:ascii="Times New Roman" w:hAnsi="Times New Roman" w:cs="Times New Roman"/>
                      <w:sz w:val="21"/>
                      <w:szCs w:val="21"/>
                    </w:rPr>
                  </w:pPr>
                  <w:r>
                    <w:rPr>
                      <w:rFonts w:ascii="Times New Roman" w:hAnsi="Times New Roman" w:cs="Times New Roman"/>
                      <w:sz w:val="21"/>
                      <w:szCs w:val="21"/>
                    </w:rPr>
                    <w:t>1</w:t>
                  </w:r>
                </w:p>
              </w:tc>
              <w:tc>
                <w:tcPr>
                  <w:tcW w:w="1007" w:type="dxa"/>
                  <w:tcBorders>
                    <w:tl2br w:val="nil"/>
                    <w:tr2bl w:val="nil"/>
                  </w:tcBorders>
                  <w:vAlign w:val="center"/>
                </w:tcPr>
                <w:p>
                  <w:pPr>
                    <w:pStyle w:val="64"/>
                    <w:jc w:val="center"/>
                    <w:rPr>
                      <w:rFonts w:ascii="Times New Roman" w:hAnsi="Times New Roman" w:cs="Times New Roman"/>
                      <w:bCs/>
                      <w:sz w:val="21"/>
                      <w:szCs w:val="21"/>
                      <w:lang w:eastAsia="zh-CN"/>
                    </w:rPr>
                  </w:pPr>
                  <w:r>
                    <w:rPr>
                      <w:rFonts w:ascii="Times New Roman" w:hAnsi="Times New Roman" w:cs="Times New Roman"/>
                      <w:sz w:val="21"/>
                      <w:szCs w:val="21"/>
                      <w:lang w:val="zh-CN" w:eastAsia="zh-CN"/>
                    </w:rPr>
                    <w:t>颚式破碎机</w:t>
                  </w:r>
                </w:p>
              </w:tc>
              <w:tc>
                <w:tcPr>
                  <w:tcW w:w="927" w:type="dxa"/>
                  <w:tcBorders>
                    <w:tl2br w:val="nil"/>
                    <w:tr2bl w:val="nil"/>
                  </w:tcBorders>
                  <w:vAlign w:val="center"/>
                </w:tcPr>
                <w:p>
                  <w:pPr>
                    <w:pStyle w:val="43"/>
                    <w:widowControl w:val="0"/>
                    <w:spacing w:line="240" w:lineRule="auto"/>
                    <w:ind w:firstLine="0" w:firstLineChars="0"/>
                    <w:jc w:val="center"/>
                    <w:rPr>
                      <w:sz w:val="21"/>
                      <w:szCs w:val="21"/>
                    </w:rPr>
                  </w:pPr>
                  <w:r>
                    <w:rPr>
                      <w:rFonts w:hint="eastAsia"/>
                      <w:sz w:val="21"/>
                      <w:szCs w:val="21"/>
                    </w:rPr>
                    <w:t>90</w:t>
                  </w:r>
                </w:p>
              </w:tc>
              <w:tc>
                <w:tcPr>
                  <w:tcW w:w="939" w:type="dxa"/>
                  <w:tcBorders>
                    <w:tl2br w:val="nil"/>
                    <w:tr2bl w:val="nil"/>
                  </w:tcBorders>
                  <w:vAlign w:val="center"/>
                </w:tcPr>
                <w:p>
                  <w:pPr>
                    <w:pStyle w:val="72"/>
                    <w:adjustRightInd w:val="0"/>
                    <w:snapToGrid w:val="0"/>
                    <w:rPr>
                      <w:rFonts w:eastAsia="宋体"/>
                    </w:rPr>
                  </w:pPr>
                  <w:r>
                    <w:rPr>
                      <w:rFonts w:eastAsia="宋体"/>
                    </w:rPr>
                    <w:t>15</w:t>
                  </w:r>
                </w:p>
              </w:tc>
              <w:tc>
                <w:tcPr>
                  <w:tcW w:w="649" w:type="dxa"/>
                  <w:tcBorders>
                    <w:tl2br w:val="nil"/>
                    <w:tr2bl w:val="nil"/>
                  </w:tcBorders>
                  <w:vAlign w:val="center"/>
                </w:tcPr>
                <w:p>
                  <w:pPr>
                    <w:pStyle w:val="43"/>
                    <w:widowControl w:val="0"/>
                    <w:spacing w:line="240" w:lineRule="auto"/>
                    <w:ind w:firstLine="0" w:firstLineChars="0"/>
                    <w:jc w:val="center"/>
                    <w:rPr>
                      <w:sz w:val="21"/>
                      <w:szCs w:val="21"/>
                      <w:lang w:bidi="he-IL"/>
                    </w:rPr>
                  </w:pPr>
                  <w:r>
                    <w:rPr>
                      <w:rFonts w:hint="eastAsia"/>
                      <w:sz w:val="21"/>
                      <w:szCs w:val="21"/>
                    </w:rPr>
                    <w:t>75</w:t>
                  </w:r>
                </w:p>
              </w:tc>
              <w:tc>
                <w:tcPr>
                  <w:tcW w:w="840" w:type="dxa"/>
                  <w:tcBorders>
                    <w:tl2br w:val="nil"/>
                    <w:tr2bl w:val="nil"/>
                  </w:tcBorders>
                  <w:vAlign w:val="center"/>
                </w:tcPr>
                <w:p>
                  <w:pPr>
                    <w:pStyle w:val="71"/>
                    <w:rPr>
                      <w:lang w:bidi="he-IL"/>
                    </w:rPr>
                  </w:pPr>
                  <w:r>
                    <w:rPr>
                      <w:rFonts w:hint="eastAsia"/>
                      <w:lang w:bidi="he-IL"/>
                    </w:rPr>
                    <w:t>42.9</w:t>
                  </w:r>
                </w:p>
              </w:tc>
              <w:tc>
                <w:tcPr>
                  <w:tcW w:w="840" w:type="dxa"/>
                  <w:tcBorders>
                    <w:tl2br w:val="nil"/>
                    <w:tr2bl w:val="nil"/>
                  </w:tcBorders>
                  <w:vAlign w:val="center"/>
                </w:tcPr>
                <w:p>
                  <w:pPr>
                    <w:pStyle w:val="71"/>
                  </w:pPr>
                  <w:r>
                    <w:rPr>
                      <w:rFonts w:hint="eastAsia"/>
                    </w:rPr>
                    <w:t>36.9</w:t>
                  </w:r>
                </w:p>
              </w:tc>
              <w:tc>
                <w:tcPr>
                  <w:tcW w:w="811" w:type="dxa"/>
                  <w:tcBorders>
                    <w:tl2br w:val="nil"/>
                    <w:tr2bl w:val="nil"/>
                  </w:tcBorders>
                  <w:vAlign w:val="center"/>
                </w:tcPr>
                <w:p>
                  <w:pPr>
                    <w:pStyle w:val="71"/>
                  </w:pPr>
                  <w:r>
                    <w:rPr>
                      <w:rFonts w:hint="eastAsia"/>
                      <w:lang w:bidi="he-IL"/>
                    </w:rPr>
                    <w:t>42.9</w:t>
                  </w:r>
                </w:p>
              </w:tc>
              <w:tc>
                <w:tcPr>
                  <w:tcW w:w="857" w:type="dxa"/>
                  <w:tcBorders>
                    <w:tl2br w:val="nil"/>
                    <w:tr2bl w:val="nil"/>
                  </w:tcBorders>
                  <w:vAlign w:val="center"/>
                </w:tcPr>
                <w:p>
                  <w:pPr>
                    <w:pStyle w:val="71"/>
                    <w:rPr>
                      <w:lang w:bidi="he-IL"/>
                    </w:rPr>
                  </w:pPr>
                  <w:r>
                    <w:rPr>
                      <w:rFonts w:hint="eastAsia"/>
                      <w:lang w:bidi="he-IL"/>
                    </w:rPr>
                    <w:t>39.4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388" w:type="dxa"/>
                  <w:tcBorders>
                    <w:tl2br w:val="nil"/>
                    <w:tr2bl w:val="nil"/>
                  </w:tcBorders>
                  <w:vAlign w:val="center"/>
                </w:tcPr>
                <w:p>
                  <w:pPr>
                    <w:pStyle w:val="54"/>
                    <w:adjustRightInd w:val="0"/>
                    <w:snapToGrid w:val="0"/>
                    <w:jc w:val="center"/>
                    <w:rPr>
                      <w:rFonts w:ascii="Times New Roman" w:hAnsi="Times New Roman" w:cs="Times New Roman"/>
                      <w:sz w:val="21"/>
                      <w:szCs w:val="21"/>
                    </w:rPr>
                  </w:pPr>
                  <w:r>
                    <w:rPr>
                      <w:rFonts w:ascii="Times New Roman" w:hAnsi="Times New Roman" w:cs="Times New Roman"/>
                      <w:sz w:val="21"/>
                      <w:szCs w:val="21"/>
                    </w:rPr>
                    <w:t>2</w:t>
                  </w:r>
                </w:p>
              </w:tc>
              <w:tc>
                <w:tcPr>
                  <w:tcW w:w="1007" w:type="dxa"/>
                  <w:tcBorders>
                    <w:tl2br w:val="nil"/>
                    <w:tr2bl w:val="nil"/>
                  </w:tcBorders>
                  <w:vAlign w:val="center"/>
                </w:tcPr>
                <w:p>
                  <w:pPr>
                    <w:pStyle w:val="64"/>
                    <w:jc w:val="center"/>
                    <w:rPr>
                      <w:rFonts w:ascii="Times New Roman" w:hAnsi="Times New Roman" w:cs="Times New Roman"/>
                      <w:bCs/>
                      <w:sz w:val="21"/>
                      <w:szCs w:val="21"/>
                      <w:lang w:eastAsia="zh-CN"/>
                    </w:rPr>
                  </w:pPr>
                  <w:r>
                    <w:rPr>
                      <w:rFonts w:hint="eastAsia" w:ascii="Times New Roman" w:hAnsi="Times New Roman" w:cs="Times New Roman"/>
                      <w:sz w:val="21"/>
                      <w:szCs w:val="21"/>
                      <w:lang w:eastAsia="zh-CN"/>
                    </w:rPr>
                    <w:t>圆锥破碎机</w:t>
                  </w:r>
                </w:p>
              </w:tc>
              <w:tc>
                <w:tcPr>
                  <w:tcW w:w="927" w:type="dxa"/>
                  <w:tcBorders>
                    <w:tl2br w:val="nil"/>
                    <w:tr2bl w:val="nil"/>
                  </w:tcBorders>
                  <w:vAlign w:val="center"/>
                </w:tcPr>
                <w:p>
                  <w:pPr>
                    <w:pStyle w:val="43"/>
                    <w:widowControl w:val="0"/>
                    <w:spacing w:line="240" w:lineRule="auto"/>
                    <w:ind w:firstLine="0" w:firstLineChars="0"/>
                    <w:jc w:val="center"/>
                    <w:rPr>
                      <w:sz w:val="21"/>
                      <w:szCs w:val="21"/>
                    </w:rPr>
                  </w:pPr>
                  <w:r>
                    <w:rPr>
                      <w:rFonts w:hint="eastAsia"/>
                      <w:sz w:val="21"/>
                      <w:szCs w:val="21"/>
                    </w:rPr>
                    <w:t>85</w:t>
                  </w:r>
                </w:p>
              </w:tc>
              <w:tc>
                <w:tcPr>
                  <w:tcW w:w="939" w:type="dxa"/>
                  <w:tcBorders>
                    <w:tl2br w:val="nil"/>
                    <w:tr2bl w:val="nil"/>
                  </w:tcBorders>
                  <w:vAlign w:val="center"/>
                </w:tcPr>
                <w:p>
                  <w:pPr>
                    <w:pStyle w:val="71"/>
                  </w:pPr>
                  <w:r>
                    <w:t>15</w:t>
                  </w:r>
                </w:p>
              </w:tc>
              <w:tc>
                <w:tcPr>
                  <w:tcW w:w="649" w:type="dxa"/>
                  <w:tcBorders>
                    <w:tl2br w:val="nil"/>
                    <w:tr2bl w:val="nil"/>
                  </w:tcBorders>
                  <w:vAlign w:val="center"/>
                </w:tcPr>
                <w:p>
                  <w:pPr>
                    <w:pStyle w:val="43"/>
                    <w:widowControl w:val="0"/>
                    <w:spacing w:line="240" w:lineRule="auto"/>
                    <w:ind w:firstLine="0" w:firstLineChars="0"/>
                    <w:jc w:val="center"/>
                    <w:rPr>
                      <w:sz w:val="21"/>
                      <w:szCs w:val="21"/>
                      <w:lang w:bidi="he-IL"/>
                    </w:rPr>
                  </w:pPr>
                  <w:r>
                    <w:rPr>
                      <w:rFonts w:hint="eastAsia"/>
                      <w:sz w:val="21"/>
                      <w:szCs w:val="21"/>
                    </w:rPr>
                    <w:t>70</w:t>
                  </w:r>
                </w:p>
              </w:tc>
              <w:tc>
                <w:tcPr>
                  <w:tcW w:w="840" w:type="dxa"/>
                  <w:tcBorders>
                    <w:tl2br w:val="nil"/>
                    <w:tr2bl w:val="nil"/>
                  </w:tcBorders>
                  <w:vAlign w:val="center"/>
                </w:tcPr>
                <w:p>
                  <w:pPr>
                    <w:pStyle w:val="71"/>
                    <w:rPr>
                      <w:lang w:bidi="he-IL"/>
                    </w:rPr>
                  </w:pPr>
                  <w:r>
                    <w:rPr>
                      <w:rFonts w:hint="eastAsia"/>
                      <w:lang w:bidi="he-IL"/>
                    </w:rPr>
                    <w:t>42.9</w:t>
                  </w:r>
                </w:p>
              </w:tc>
              <w:tc>
                <w:tcPr>
                  <w:tcW w:w="840" w:type="dxa"/>
                  <w:tcBorders>
                    <w:tl2br w:val="nil"/>
                    <w:tr2bl w:val="nil"/>
                  </w:tcBorders>
                  <w:vAlign w:val="center"/>
                </w:tcPr>
                <w:p>
                  <w:pPr>
                    <w:pStyle w:val="71"/>
                  </w:pPr>
                  <w:r>
                    <w:rPr>
                      <w:rFonts w:hint="eastAsia"/>
                    </w:rPr>
                    <w:t>32.5</w:t>
                  </w:r>
                </w:p>
              </w:tc>
              <w:tc>
                <w:tcPr>
                  <w:tcW w:w="811" w:type="dxa"/>
                  <w:tcBorders>
                    <w:tl2br w:val="nil"/>
                    <w:tr2bl w:val="nil"/>
                  </w:tcBorders>
                  <w:vAlign w:val="center"/>
                </w:tcPr>
                <w:p>
                  <w:pPr>
                    <w:pStyle w:val="71"/>
                  </w:pPr>
                  <w:r>
                    <w:rPr>
                      <w:rFonts w:hint="eastAsia"/>
                      <w:lang w:bidi="he-IL"/>
                    </w:rPr>
                    <w:t>42.9</w:t>
                  </w:r>
                </w:p>
              </w:tc>
              <w:tc>
                <w:tcPr>
                  <w:tcW w:w="857" w:type="dxa"/>
                  <w:tcBorders>
                    <w:tl2br w:val="nil"/>
                    <w:tr2bl w:val="nil"/>
                  </w:tcBorders>
                  <w:vAlign w:val="center"/>
                </w:tcPr>
                <w:p>
                  <w:pPr>
                    <w:pStyle w:val="71"/>
                    <w:rPr>
                      <w:lang w:bidi="he-IL"/>
                    </w:rPr>
                  </w:pPr>
                  <w:r>
                    <w:rPr>
                      <w:rFonts w:hint="eastAsia"/>
                      <w:lang w:bidi="he-IL"/>
                    </w:rPr>
                    <w:t>33.7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388" w:type="dxa"/>
                  <w:tcBorders>
                    <w:tl2br w:val="nil"/>
                    <w:tr2bl w:val="nil"/>
                  </w:tcBorders>
                  <w:vAlign w:val="center"/>
                </w:tcPr>
                <w:p>
                  <w:pPr>
                    <w:pStyle w:val="54"/>
                    <w:adjustRightInd w:val="0"/>
                    <w:snapToGrid w:val="0"/>
                    <w:jc w:val="center"/>
                    <w:rPr>
                      <w:rFonts w:ascii="Times New Roman" w:hAnsi="Times New Roman" w:cs="Times New Roman"/>
                      <w:sz w:val="21"/>
                      <w:szCs w:val="21"/>
                    </w:rPr>
                  </w:pPr>
                  <w:r>
                    <w:rPr>
                      <w:rFonts w:ascii="Times New Roman" w:hAnsi="Times New Roman" w:cs="Times New Roman"/>
                      <w:sz w:val="21"/>
                      <w:szCs w:val="21"/>
                    </w:rPr>
                    <w:t>3</w:t>
                  </w:r>
                </w:p>
              </w:tc>
              <w:tc>
                <w:tcPr>
                  <w:tcW w:w="1007" w:type="dxa"/>
                  <w:tcBorders>
                    <w:tl2br w:val="nil"/>
                    <w:tr2bl w:val="nil"/>
                  </w:tcBorders>
                  <w:vAlign w:val="center"/>
                </w:tcPr>
                <w:p>
                  <w:pPr>
                    <w:pStyle w:val="64"/>
                    <w:jc w:val="center"/>
                    <w:rPr>
                      <w:rFonts w:ascii="Times New Roman" w:hAnsi="Times New Roman" w:cs="Times New Roman"/>
                      <w:bCs/>
                      <w:sz w:val="21"/>
                      <w:szCs w:val="21"/>
                      <w:lang w:eastAsia="zh-CN"/>
                    </w:rPr>
                  </w:pPr>
                  <w:r>
                    <w:rPr>
                      <w:rFonts w:ascii="Times New Roman" w:hAnsi="Times New Roman" w:cs="Times New Roman"/>
                      <w:sz w:val="21"/>
                      <w:szCs w:val="21"/>
                      <w:lang w:val="zh-CN" w:eastAsia="zh-CN"/>
                    </w:rPr>
                    <w:t>皮带输送机</w:t>
                  </w:r>
                </w:p>
              </w:tc>
              <w:tc>
                <w:tcPr>
                  <w:tcW w:w="927" w:type="dxa"/>
                  <w:tcBorders>
                    <w:tl2br w:val="nil"/>
                    <w:tr2bl w:val="nil"/>
                  </w:tcBorders>
                  <w:vAlign w:val="center"/>
                </w:tcPr>
                <w:p>
                  <w:pPr>
                    <w:pStyle w:val="43"/>
                    <w:widowControl w:val="0"/>
                    <w:spacing w:line="240" w:lineRule="auto"/>
                    <w:ind w:firstLine="0" w:firstLineChars="0"/>
                    <w:jc w:val="center"/>
                    <w:rPr>
                      <w:sz w:val="21"/>
                      <w:szCs w:val="21"/>
                    </w:rPr>
                  </w:pPr>
                  <w:r>
                    <w:rPr>
                      <w:rFonts w:hint="eastAsia"/>
                      <w:sz w:val="21"/>
                      <w:szCs w:val="21"/>
                    </w:rPr>
                    <w:t>75</w:t>
                  </w:r>
                </w:p>
              </w:tc>
              <w:tc>
                <w:tcPr>
                  <w:tcW w:w="939" w:type="dxa"/>
                  <w:tcBorders>
                    <w:tl2br w:val="nil"/>
                    <w:tr2bl w:val="nil"/>
                  </w:tcBorders>
                  <w:vAlign w:val="center"/>
                </w:tcPr>
                <w:p>
                  <w:pPr>
                    <w:pStyle w:val="72"/>
                    <w:adjustRightInd w:val="0"/>
                    <w:snapToGrid w:val="0"/>
                    <w:rPr>
                      <w:rFonts w:eastAsia="宋体"/>
                    </w:rPr>
                  </w:pPr>
                  <w:r>
                    <w:rPr>
                      <w:rFonts w:eastAsia="宋体"/>
                    </w:rPr>
                    <w:t>15</w:t>
                  </w:r>
                </w:p>
              </w:tc>
              <w:tc>
                <w:tcPr>
                  <w:tcW w:w="649" w:type="dxa"/>
                  <w:tcBorders>
                    <w:tl2br w:val="nil"/>
                    <w:tr2bl w:val="nil"/>
                  </w:tcBorders>
                  <w:vAlign w:val="center"/>
                </w:tcPr>
                <w:p>
                  <w:pPr>
                    <w:pStyle w:val="43"/>
                    <w:widowControl w:val="0"/>
                    <w:spacing w:line="240" w:lineRule="auto"/>
                    <w:ind w:firstLine="0" w:firstLineChars="0"/>
                    <w:jc w:val="center"/>
                    <w:rPr>
                      <w:sz w:val="21"/>
                      <w:szCs w:val="21"/>
                      <w:lang w:bidi="he-IL"/>
                    </w:rPr>
                  </w:pPr>
                  <w:r>
                    <w:rPr>
                      <w:rFonts w:hint="eastAsia"/>
                      <w:sz w:val="21"/>
                      <w:szCs w:val="21"/>
                    </w:rPr>
                    <w:t>60</w:t>
                  </w:r>
                </w:p>
              </w:tc>
              <w:tc>
                <w:tcPr>
                  <w:tcW w:w="840" w:type="dxa"/>
                  <w:tcBorders>
                    <w:tl2br w:val="nil"/>
                    <w:tr2bl w:val="nil"/>
                  </w:tcBorders>
                  <w:vAlign w:val="center"/>
                </w:tcPr>
                <w:p>
                  <w:pPr>
                    <w:pStyle w:val="71"/>
                    <w:rPr>
                      <w:lang w:bidi="he-IL"/>
                    </w:rPr>
                  </w:pPr>
                  <w:r>
                    <w:rPr>
                      <w:rFonts w:hint="eastAsia"/>
                      <w:lang w:bidi="he-IL"/>
                    </w:rPr>
                    <w:t>29.1</w:t>
                  </w:r>
                </w:p>
              </w:tc>
              <w:tc>
                <w:tcPr>
                  <w:tcW w:w="840" w:type="dxa"/>
                  <w:tcBorders>
                    <w:tl2br w:val="nil"/>
                    <w:tr2bl w:val="nil"/>
                  </w:tcBorders>
                  <w:vAlign w:val="center"/>
                </w:tcPr>
                <w:p>
                  <w:pPr>
                    <w:pStyle w:val="71"/>
                  </w:pPr>
                  <w:r>
                    <w:rPr>
                      <w:rFonts w:hint="eastAsia"/>
                    </w:rPr>
                    <w:t>24.4</w:t>
                  </w:r>
                </w:p>
              </w:tc>
              <w:tc>
                <w:tcPr>
                  <w:tcW w:w="811" w:type="dxa"/>
                  <w:tcBorders>
                    <w:tl2br w:val="nil"/>
                    <w:tr2bl w:val="nil"/>
                  </w:tcBorders>
                  <w:vAlign w:val="center"/>
                </w:tcPr>
                <w:p>
                  <w:pPr>
                    <w:pStyle w:val="71"/>
                  </w:pPr>
                  <w:r>
                    <w:rPr>
                      <w:rFonts w:hint="eastAsia"/>
                    </w:rPr>
                    <w:t>33.9</w:t>
                  </w:r>
                </w:p>
              </w:tc>
              <w:tc>
                <w:tcPr>
                  <w:tcW w:w="857" w:type="dxa"/>
                  <w:tcBorders>
                    <w:tl2br w:val="nil"/>
                    <w:tr2bl w:val="nil"/>
                  </w:tcBorders>
                  <w:vAlign w:val="center"/>
                </w:tcPr>
                <w:p>
                  <w:pPr>
                    <w:pStyle w:val="71"/>
                    <w:rPr>
                      <w:lang w:bidi="he-IL"/>
                    </w:rPr>
                  </w:pPr>
                  <w:r>
                    <w:rPr>
                      <w:rFonts w:hint="eastAsia"/>
                      <w:lang w:bidi="he-IL"/>
                    </w:rPr>
                    <w:t>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388" w:type="dxa"/>
                  <w:tcBorders>
                    <w:tl2br w:val="nil"/>
                    <w:tr2bl w:val="nil"/>
                  </w:tcBorders>
                  <w:vAlign w:val="center"/>
                </w:tcPr>
                <w:p>
                  <w:pPr>
                    <w:pStyle w:val="54"/>
                    <w:adjustRightInd w:val="0"/>
                    <w:snapToGrid w:val="0"/>
                    <w:jc w:val="center"/>
                    <w:rPr>
                      <w:rFonts w:ascii="Times New Roman" w:hAnsi="Times New Roman" w:cs="Times New Roman"/>
                      <w:sz w:val="21"/>
                      <w:szCs w:val="21"/>
                    </w:rPr>
                  </w:pPr>
                  <w:r>
                    <w:rPr>
                      <w:rFonts w:ascii="Times New Roman" w:hAnsi="Times New Roman" w:cs="Times New Roman"/>
                      <w:sz w:val="21"/>
                      <w:szCs w:val="21"/>
                    </w:rPr>
                    <w:t>4</w:t>
                  </w:r>
                </w:p>
              </w:tc>
              <w:tc>
                <w:tcPr>
                  <w:tcW w:w="1007" w:type="dxa"/>
                  <w:tcBorders>
                    <w:tl2br w:val="nil"/>
                    <w:tr2bl w:val="nil"/>
                  </w:tcBorders>
                  <w:vAlign w:val="center"/>
                </w:tcPr>
                <w:p>
                  <w:pPr>
                    <w:pStyle w:val="64"/>
                    <w:jc w:val="center"/>
                    <w:rPr>
                      <w:rFonts w:ascii="Times New Roman" w:hAnsi="Times New Roman" w:cs="Times New Roman"/>
                      <w:bCs/>
                      <w:sz w:val="21"/>
                      <w:szCs w:val="21"/>
                      <w:lang w:eastAsia="zh-CN"/>
                    </w:rPr>
                  </w:pPr>
                  <w:r>
                    <w:rPr>
                      <w:rFonts w:ascii="Times New Roman" w:hAnsi="Times New Roman" w:cs="Times New Roman"/>
                      <w:sz w:val="21"/>
                      <w:szCs w:val="21"/>
                      <w:lang w:val="zh-CN" w:eastAsia="zh-CN"/>
                    </w:rPr>
                    <w:t>振动筛</w:t>
                  </w:r>
                </w:p>
              </w:tc>
              <w:tc>
                <w:tcPr>
                  <w:tcW w:w="927" w:type="dxa"/>
                  <w:tcBorders>
                    <w:tl2br w:val="nil"/>
                    <w:tr2bl w:val="nil"/>
                  </w:tcBorders>
                  <w:vAlign w:val="center"/>
                </w:tcPr>
                <w:p>
                  <w:pPr>
                    <w:pStyle w:val="43"/>
                    <w:widowControl w:val="0"/>
                    <w:spacing w:line="240" w:lineRule="auto"/>
                    <w:ind w:firstLine="0" w:firstLineChars="0"/>
                    <w:jc w:val="center"/>
                    <w:rPr>
                      <w:sz w:val="21"/>
                      <w:szCs w:val="21"/>
                    </w:rPr>
                  </w:pPr>
                  <w:r>
                    <w:rPr>
                      <w:rFonts w:hint="eastAsia"/>
                      <w:sz w:val="21"/>
                      <w:szCs w:val="21"/>
                    </w:rPr>
                    <w:t>85</w:t>
                  </w:r>
                </w:p>
              </w:tc>
              <w:tc>
                <w:tcPr>
                  <w:tcW w:w="939" w:type="dxa"/>
                  <w:tcBorders>
                    <w:tl2br w:val="nil"/>
                    <w:tr2bl w:val="nil"/>
                  </w:tcBorders>
                  <w:vAlign w:val="center"/>
                </w:tcPr>
                <w:p>
                  <w:pPr>
                    <w:pStyle w:val="72"/>
                    <w:adjustRightInd w:val="0"/>
                    <w:snapToGrid w:val="0"/>
                    <w:rPr>
                      <w:rFonts w:eastAsia="宋体"/>
                    </w:rPr>
                  </w:pPr>
                  <w:r>
                    <w:rPr>
                      <w:rFonts w:eastAsia="宋体"/>
                    </w:rPr>
                    <w:t>15</w:t>
                  </w:r>
                </w:p>
              </w:tc>
              <w:tc>
                <w:tcPr>
                  <w:tcW w:w="649" w:type="dxa"/>
                  <w:tcBorders>
                    <w:tl2br w:val="nil"/>
                    <w:tr2bl w:val="nil"/>
                  </w:tcBorders>
                  <w:vAlign w:val="center"/>
                </w:tcPr>
                <w:p>
                  <w:pPr>
                    <w:pStyle w:val="43"/>
                    <w:widowControl w:val="0"/>
                    <w:spacing w:line="240" w:lineRule="auto"/>
                    <w:ind w:firstLine="0" w:firstLineChars="0"/>
                    <w:jc w:val="center"/>
                    <w:rPr>
                      <w:sz w:val="21"/>
                      <w:szCs w:val="21"/>
                      <w:lang w:bidi="he-IL"/>
                    </w:rPr>
                  </w:pPr>
                  <w:r>
                    <w:rPr>
                      <w:rFonts w:hint="eastAsia"/>
                      <w:sz w:val="21"/>
                      <w:szCs w:val="21"/>
                    </w:rPr>
                    <w:t>70</w:t>
                  </w:r>
                </w:p>
              </w:tc>
              <w:tc>
                <w:tcPr>
                  <w:tcW w:w="840" w:type="dxa"/>
                  <w:tcBorders>
                    <w:tl2br w:val="nil"/>
                    <w:tr2bl w:val="nil"/>
                  </w:tcBorders>
                  <w:vAlign w:val="center"/>
                </w:tcPr>
                <w:p>
                  <w:pPr>
                    <w:pStyle w:val="71"/>
                    <w:rPr>
                      <w:lang w:bidi="he-IL"/>
                    </w:rPr>
                  </w:pPr>
                  <w:r>
                    <w:rPr>
                      <w:rFonts w:hint="eastAsia"/>
                      <w:lang w:bidi="he-IL"/>
                    </w:rPr>
                    <w:t>43.9</w:t>
                  </w:r>
                </w:p>
              </w:tc>
              <w:tc>
                <w:tcPr>
                  <w:tcW w:w="840" w:type="dxa"/>
                  <w:tcBorders>
                    <w:tl2br w:val="nil"/>
                    <w:tr2bl w:val="nil"/>
                  </w:tcBorders>
                  <w:vAlign w:val="center"/>
                </w:tcPr>
                <w:p>
                  <w:pPr>
                    <w:pStyle w:val="71"/>
                  </w:pPr>
                  <w:r>
                    <w:rPr>
                      <w:rFonts w:hint="eastAsia"/>
                    </w:rPr>
                    <w:t>43.9</w:t>
                  </w:r>
                </w:p>
              </w:tc>
              <w:tc>
                <w:tcPr>
                  <w:tcW w:w="811" w:type="dxa"/>
                  <w:tcBorders>
                    <w:tl2br w:val="nil"/>
                    <w:tr2bl w:val="nil"/>
                  </w:tcBorders>
                  <w:vAlign w:val="center"/>
                </w:tcPr>
                <w:p>
                  <w:pPr>
                    <w:pStyle w:val="71"/>
                  </w:pPr>
                  <w:r>
                    <w:rPr>
                      <w:rFonts w:hint="eastAsia"/>
                    </w:rPr>
                    <w:t>31.9</w:t>
                  </w:r>
                </w:p>
              </w:tc>
              <w:tc>
                <w:tcPr>
                  <w:tcW w:w="857" w:type="dxa"/>
                  <w:tcBorders>
                    <w:tl2br w:val="nil"/>
                    <w:tr2bl w:val="nil"/>
                  </w:tcBorders>
                  <w:vAlign w:val="center"/>
                </w:tcPr>
                <w:p>
                  <w:pPr>
                    <w:pStyle w:val="71"/>
                    <w:rPr>
                      <w:lang w:bidi="he-IL"/>
                    </w:rPr>
                  </w:pPr>
                  <w:r>
                    <w:rPr>
                      <w:rFonts w:hint="eastAsia"/>
                      <w:lang w:bidi="he-IL"/>
                    </w:rPr>
                    <w:t>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388" w:type="dxa"/>
                  <w:tcBorders>
                    <w:tl2br w:val="nil"/>
                    <w:tr2bl w:val="nil"/>
                  </w:tcBorders>
                  <w:vAlign w:val="center"/>
                </w:tcPr>
                <w:p>
                  <w:pPr>
                    <w:pStyle w:val="54"/>
                    <w:adjustRightInd w:val="0"/>
                    <w:snapToGrid w:val="0"/>
                    <w:jc w:val="center"/>
                    <w:rPr>
                      <w:rFonts w:ascii="Times New Roman" w:hAnsi="Times New Roman" w:cs="Times New Roman"/>
                      <w:sz w:val="21"/>
                      <w:szCs w:val="21"/>
                    </w:rPr>
                  </w:pPr>
                  <w:r>
                    <w:rPr>
                      <w:rFonts w:ascii="Times New Roman" w:hAnsi="Times New Roman" w:cs="Times New Roman"/>
                      <w:sz w:val="21"/>
                      <w:szCs w:val="21"/>
                    </w:rPr>
                    <w:t>5</w:t>
                  </w:r>
                </w:p>
              </w:tc>
              <w:tc>
                <w:tcPr>
                  <w:tcW w:w="1007" w:type="dxa"/>
                  <w:tcBorders>
                    <w:tl2br w:val="nil"/>
                    <w:tr2bl w:val="nil"/>
                  </w:tcBorders>
                  <w:vAlign w:val="center"/>
                </w:tcPr>
                <w:p>
                  <w:pPr>
                    <w:pStyle w:val="64"/>
                    <w:jc w:val="center"/>
                    <w:rPr>
                      <w:rFonts w:ascii="Times New Roman" w:hAnsi="Times New Roman" w:cs="Times New Roman"/>
                      <w:bCs/>
                      <w:sz w:val="21"/>
                      <w:szCs w:val="21"/>
                      <w:lang w:eastAsia="zh-CN"/>
                    </w:rPr>
                  </w:pPr>
                  <w:r>
                    <w:rPr>
                      <w:rFonts w:hint="eastAsia" w:ascii="Times New Roman" w:hAnsi="Times New Roman" w:cs="Times New Roman"/>
                      <w:sz w:val="21"/>
                      <w:szCs w:val="21"/>
                      <w:lang w:eastAsia="zh-CN"/>
                    </w:rPr>
                    <w:t>滚筒筛</w:t>
                  </w:r>
                </w:p>
              </w:tc>
              <w:tc>
                <w:tcPr>
                  <w:tcW w:w="927" w:type="dxa"/>
                  <w:tcBorders>
                    <w:tl2br w:val="nil"/>
                    <w:tr2bl w:val="nil"/>
                  </w:tcBorders>
                  <w:vAlign w:val="center"/>
                </w:tcPr>
                <w:p>
                  <w:pPr>
                    <w:pStyle w:val="43"/>
                    <w:widowControl w:val="0"/>
                    <w:spacing w:line="240" w:lineRule="auto"/>
                    <w:ind w:firstLine="0" w:firstLineChars="0"/>
                    <w:jc w:val="center"/>
                    <w:rPr>
                      <w:sz w:val="21"/>
                      <w:szCs w:val="21"/>
                    </w:rPr>
                  </w:pPr>
                  <w:r>
                    <w:rPr>
                      <w:rFonts w:hint="eastAsia"/>
                      <w:sz w:val="21"/>
                      <w:szCs w:val="21"/>
                    </w:rPr>
                    <w:t>75</w:t>
                  </w:r>
                </w:p>
              </w:tc>
              <w:tc>
                <w:tcPr>
                  <w:tcW w:w="939" w:type="dxa"/>
                  <w:tcBorders>
                    <w:tl2br w:val="nil"/>
                    <w:tr2bl w:val="nil"/>
                  </w:tcBorders>
                  <w:vAlign w:val="center"/>
                </w:tcPr>
                <w:p>
                  <w:pPr>
                    <w:pStyle w:val="72"/>
                    <w:adjustRightInd w:val="0"/>
                    <w:snapToGrid w:val="0"/>
                    <w:rPr>
                      <w:rFonts w:eastAsia="宋体"/>
                    </w:rPr>
                  </w:pPr>
                  <w:r>
                    <w:rPr>
                      <w:rFonts w:eastAsia="宋体"/>
                    </w:rPr>
                    <w:t>15</w:t>
                  </w:r>
                </w:p>
              </w:tc>
              <w:tc>
                <w:tcPr>
                  <w:tcW w:w="649" w:type="dxa"/>
                  <w:tcBorders>
                    <w:tl2br w:val="nil"/>
                    <w:tr2bl w:val="nil"/>
                  </w:tcBorders>
                  <w:vAlign w:val="center"/>
                </w:tcPr>
                <w:p>
                  <w:pPr>
                    <w:pStyle w:val="43"/>
                    <w:widowControl w:val="0"/>
                    <w:spacing w:line="240" w:lineRule="auto"/>
                    <w:ind w:firstLine="0" w:firstLineChars="0"/>
                    <w:jc w:val="center"/>
                    <w:rPr>
                      <w:sz w:val="21"/>
                      <w:szCs w:val="21"/>
                      <w:lang w:bidi="he-IL"/>
                    </w:rPr>
                  </w:pPr>
                  <w:r>
                    <w:rPr>
                      <w:rFonts w:hint="eastAsia"/>
                      <w:sz w:val="21"/>
                      <w:szCs w:val="21"/>
                    </w:rPr>
                    <w:t>60</w:t>
                  </w:r>
                </w:p>
              </w:tc>
              <w:tc>
                <w:tcPr>
                  <w:tcW w:w="840" w:type="dxa"/>
                  <w:tcBorders>
                    <w:tl2br w:val="nil"/>
                    <w:tr2bl w:val="nil"/>
                  </w:tcBorders>
                  <w:vAlign w:val="center"/>
                </w:tcPr>
                <w:p>
                  <w:pPr>
                    <w:pStyle w:val="71"/>
                    <w:rPr>
                      <w:lang w:bidi="he-IL"/>
                    </w:rPr>
                  </w:pPr>
                  <w:r>
                    <w:rPr>
                      <w:rFonts w:hint="eastAsia"/>
                      <w:lang w:bidi="he-IL"/>
                    </w:rPr>
                    <w:t>33.9</w:t>
                  </w:r>
                </w:p>
              </w:tc>
              <w:tc>
                <w:tcPr>
                  <w:tcW w:w="840" w:type="dxa"/>
                  <w:tcBorders>
                    <w:tl2br w:val="nil"/>
                    <w:tr2bl w:val="nil"/>
                  </w:tcBorders>
                  <w:vAlign w:val="center"/>
                </w:tcPr>
                <w:p>
                  <w:pPr>
                    <w:pStyle w:val="71"/>
                  </w:pPr>
                  <w:r>
                    <w:rPr>
                      <w:rFonts w:hint="eastAsia"/>
                    </w:rPr>
                    <w:t>23.1</w:t>
                  </w:r>
                </w:p>
              </w:tc>
              <w:tc>
                <w:tcPr>
                  <w:tcW w:w="811" w:type="dxa"/>
                  <w:tcBorders>
                    <w:tl2br w:val="nil"/>
                    <w:tr2bl w:val="nil"/>
                  </w:tcBorders>
                  <w:vAlign w:val="center"/>
                </w:tcPr>
                <w:p>
                  <w:pPr>
                    <w:pStyle w:val="71"/>
                  </w:pPr>
                  <w:r>
                    <w:rPr>
                      <w:rFonts w:hint="eastAsia"/>
                    </w:rPr>
                    <w:t>24.4</w:t>
                  </w:r>
                </w:p>
              </w:tc>
              <w:tc>
                <w:tcPr>
                  <w:tcW w:w="857" w:type="dxa"/>
                  <w:tcBorders>
                    <w:tl2br w:val="nil"/>
                    <w:tr2bl w:val="nil"/>
                  </w:tcBorders>
                  <w:vAlign w:val="center"/>
                </w:tcPr>
                <w:p>
                  <w:pPr>
                    <w:pStyle w:val="71"/>
                    <w:rPr>
                      <w:lang w:bidi="he-IL"/>
                    </w:rPr>
                  </w:pPr>
                  <w:r>
                    <w:rPr>
                      <w:rFonts w:hint="eastAsia"/>
                    </w:rPr>
                    <w:t>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388" w:type="dxa"/>
                  <w:tcBorders>
                    <w:tl2br w:val="nil"/>
                    <w:tr2bl w:val="nil"/>
                  </w:tcBorders>
                  <w:vAlign w:val="center"/>
                </w:tcPr>
                <w:p>
                  <w:pPr>
                    <w:pStyle w:val="54"/>
                    <w:adjustRightInd w:val="0"/>
                    <w:snapToGrid w:val="0"/>
                    <w:jc w:val="center"/>
                    <w:rPr>
                      <w:rFonts w:ascii="Times New Roman" w:hAnsi="Times New Roman" w:cs="Times New Roman"/>
                      <w:sz w:val="21"/>
                      <w:szCs w:val="21"/>
                    </w:rPr>
                  </w:pPr>
                  <w:r>
                    <w:rPr>
                      <w:rFonts w:hint="eastAsia" w:ascii="Times New Roman" w:hAnsi="Times New Roman" w:cs="Times New Roman"/>
                      <w:sz w:val="21"/>
                      <w:szCs w:val="21"/>
                    </w:rPr>
                    <w:t>6</w:t>
                  </w:r>
                </w:p>
              </w:tc>
              <w:tc>
                <w:tcPr>
                  <w:tcW w:w="1007" w:type="dxa"/>
                  <w:tcBorders>
                    <w:tl2br w:val="nil"/>
                    <w:tr2bl w:val="nil"/>
                  </w:tcBorders>
                  <w:vAlign w:val="center"/>
                </w:tcPr>
                <w:p>
                  <w:pPr>
                    <w:pStyle w:val="64"/>
                    <w:jc w:val="center"/>
                    <w:rPr>
                      <w:rFonts w:ascii="Times New Roman" w:hAnsi="Times New Roman" w:cs="Times New Roman"/>
                      <w:bCs/>
                      <w:sz w:val="21"/>
                      <w:szCs w:val="21"/>
                      <w:lang w:eastAsia="zh-CN"/>
                    </w:rPr>
                  </w:pPr>
                  <w:r>
                    <w:rPr>
                      <w:rFonts w:hint="eastAsia" w:ascii="Times New Roman" w:hAnsi="Times New Roman" w:cs="Times New Roman"/>
                      <w:sz w:val="21"/>
                      <w:szCs w:val="21"/>
                      <w:lang w:eastAsia="zh-CN"/>
                    </w:rPr>
                    <w:t>四排洗沙轮</w:t>
                  </w:r>
                </w:p>
              </w:tc>
              <w:tc>
                <w:tcPr>
                  <w:tcW w:w="927" w:type="dxa"/>
                  <w:tcBorders>
                    <w:tl2br w:val="nil"/>
                    <w:tr2bl w:val="nil"/>
                  </w:tcBorders>
                  <w:vAlign w:val="center"/>
                </w:tcPr>
                <w:p>
                  <w:pPr>
                    <w:pStyle w:val="43"/>
                    <w:widowControl w:val="0"/>
                    <w:spacing w:line="240" w:lineRule="auto"/>
                    <w:ind w:firstLine="0" w:firstLineChars="0"/>
                    <w:jc w:val="center"/>
                    <w:rPr>
                      <w:sz w:val="21"/>
                      <w:szCs w:val="21"/>
                    </w:rPr>
                  </w:pPr>
                  <w:r>
                    <w:rPr>
                      <w:rFonts w:hint="eastAsia"/>
                      <w:sz w:val="21"/>
                      <w:szCs w:val="21"/>
                    </w:rPr>
                    <w:t>75</w:t>
                  </w:r>
                </w:p>
              </w:tc>
              <w:tc>
                <w:tcPr>
                  <w:tcW w:w="939" w:type="dxa"/>
                  <w:tcBorders>
                    <w:tl2br w:val="nil"/>
                    <w:tr2bl w:val="nil"/>
                  </w:tcBorders>
                  <w:vAlign w:val="center"/>
                </w:tcPr>
                <w:p>
                  <w:pPr>
                    <w:pStyle w:val="72"/>
                    <w:adjustRightInd w:val="0"/>
                    <w:snapToGrid w:val="0"/>
                    <w:rPr>
                      <w:rFonts w:eastAsia="宋体"/>
                    </w:rPr>
                  </w:pPr>
                  <w:r>
                    <w:rPr>
                      <w:rFonts w:eastAsia="宋体"/>
                    </w:rPr>
                    <w:t>15</w:t>
                  </w:r>
                </w:p>
              </w:tc>
              <w:tc>
                <w:tcPr>
                  <w:tcW w:w="649" w:type="dxa"/>
                  <w:tcBorders>
                    <w:tl2br w:val="nil"/>
                    <w:tr2bl w:val="nil"/>
                  </w:tcBorders>
                  <w:vAlign w:val="center"/>
                </w:tcPr>
                <w:p>
                  <w:pPr>
                    <w:pStyle w:val="43"/>
                    <w:widowControl w:val="0"/>
                    <w:spacing w:line="240" w:lineRule="auto"/>
                    <w:ind w:firstLine="0" w:firstLineChars="0"/>
                    <w:jc w:val="center"/>
                    <w:rPr>
                      <w:sz w:val="21"/>
                      <w:szCs w:val="21"/>
                      <w:lang w:bidi="he-IL"/>
                    </w:rPr>
                  </w:pPr>
                  <w:r>
                    <w:rPr>
                      <w:rFonts w:hint="eastAsia"/>
                      <w:sz w:val="21"/>
                      <w:szCs w:val="21"/>
                    </w:rPr>
                    <w:t>60</w:t>
                  </w:r>
                </w:p>
              </w:tc>
              <w:tc>
                <w:tcPr>
                  <w:tcW w:w="840" w:type="dxa"/>
                  <w:tcBorders>
                    <w:tl2br w:val="nil"/>
                    <w:tr2bl w:val="nil"/>
                  </w:tcBorders>
                  <w:vAlign w:val="center"/>
                </w:tcPr>
                <w:p>
                  <w:pPr>
                    <w:pStyle w:val="71"/>
                    <w:rPr>
                      <w:lang w:bidi="he-IL"/>
                    </w:rPr>
                  </w:pPr>
                  <w:r>
                    <w:rPr>
                      <w:rFonts w:hint="eastAsia"/>
                      <w:lang w:bidi="he-IL"/>
                    </w:rPr>
                    <w:t>33.9</w:t>
                  </w:r>
                </w:p>
              </w:tc>
              <w:tc>
                <w:tcPr>
                  <w:tcW w:w="840" w:type="dxa"/>
                  <w:tcBorders>
                    <w:tl2br w:val="nil"/>
                    <w:tr2bl w:val="nil"/>
                  </w:tcBorders>
                  <w:vAlign w:val="center"/>
                </w:tcPr>
                <w:p>
                  <w:pPr>
                    <w:pStyle w:val="71"/>
                  </w:pPr>
                  <w:r>
                    <w:rPr>
                      <w:rFonts w:hint="eastAsia"/>
                    </w:rPr>
                    <w:t>23.1</w:t>
                  </w:r>
                </w:p>
              </w:tc>
              <w:tc>
                <w:tcPr>
                  <w:tcW w:w="811" w:type="dxa"/>
                  <w:tcBorders>
                    <w:tl2br w:val="nil"/>
                    <w:tr2bl w:val="nil"/>
                  </w:tcBorders>
                  <w:vAlign w:val="center"/>
                </w:tcPr>
                <w:p>
                  <w:pPr>
                    <w:pStyle w:val="71"/>
                  </w:pPr>
                  <w:r>
                    <w:rPr>
                      <w:rFonts w:hint="eastAsia"/>
                    </w:rPr>
                    <w:t>24.4</w:t>
                  </w:r>
                </w:p>
              </w:tc>
              <w:tc>
                <w:tcPr>
                  <w:tcW w:w="857" w:type="dxa"/>
                  <w:tcBorders>
                    <w:tl2br w:val="nil"/>
                    <w:tr2bl w:val="nil"/>
                  </w:tcBorders>
                  <w:vAlign w:val="center"/>
                </w:tcPr>
                <w:p>
                  <w:pPr>
                    <w:pStyle w:val="71"/>
                    <w:rPr>
                      <w:lang w:bidi="he-IL"/>
                    </w:rPr>
                  </w:pPr>
                  <w:r>
                    <w:rPr>
                      <w:rFonts w:hint="eastAsia"/>
                    </w:rPr>
                    <w:t>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388" w:type="dxa"/>
                  <w:tcBorders>
                    <w:tl2br w:val="nil"/>
                    <w:tr2bl w:val="nil"/>
                  </w:tcBorders>
                  <w:vAlign w:val="center"/>
                </w:tcPr>
                <w:p>
                  <w:pPr>
                    <w:pStyle w:val="54"/>
                    <w:adjustRightInd w:val="0"/>
                    <w:snapToGrid w:val="0"/>
                    <w:jc w:val="center"/>
                    <w:rPr>
                      <w:rFonts w:ascii="Times New Roman" w:hAnsi="Times New Roman" w:cs="Times New Roman"/>
                      <w:sz w:val="21"/>
                      <w:szCs w:val="21"/>
                    </w:rPr>
                  </w:pPr>
                  <w:r>
                    <w:rPr>
                      <w:rFonts w:hint="eastAsia" w:ascii="Times New Roman" w:hAnsi="Times New Roman" w:cs="Times New Roman"/>
                      <w:sz w:val="21"/>
                      <w:szCs w:val="21"/>
                    </w:rPr>
                    <w:t>7</w:t>
                  </w:r>
                </w:p>
              </w:tc>
              <w:tc>
                <w:tcPr>
                  <w:tcW w:w="1007" w:type="dxa"/>
                  <w:tcBorders>
                    <w:tl2br w:val="nil"/>
                    <w:tr2bl w:val="nil"/>
                  </w:tcBorders>
                  <w:vAlign w:val="center"/>
                </w:tcPr>
                <w:p>
                  <w:pPr>
                    <w:pStyle w:val="64"/>
                    <w:jc w:val="center"/>
                    <w:rPr>
                      <w:rFonts w:ascii="Times New Roman" w:hAnsi="Times New Roman" w:cs="Times New Roman"/>
                      <w:bCs/>
                      <w:sz w:val="21"/>
                      <w:szCs w:val="21"/>
                      <w:lang w:eastAsia="zh-CN"/>
                    </w:rPr>
                  </w:pPr>
                  <w:r>
                    <w:rPr>
                      <w:rFonts w:hint="eastAsia" w:ascii="Times New Roman" w:hAnsi="Times New Roman" w:cs="Times New Roman"/>
                      <w:sz w:val="21"/>
                      <w:szCs w:val="21"/>
                      <w:lang w:eastAsia="zh-CN"/>
                    </w:rPr>
                    <w:t>托盘筛</w:t>
                  </w:r>
                </w:p>
              </w:tc>
              <w:tc>
                <w:tcPr>
                  <w:tcW w:w="927" w:type="dxa"/>
                  <w:tcBorders>
                    <w:tl2br w:val="nil"/>
                    <w:tr2bl w:val="nil"/>
                  </w:tcBorders>
                  <w:vAlign w:val="center"/>
                </w:tcPr>
                <w:p>
                  <w:pPr>
                    <w:pStyle w:val="43"/>
                    <w:widowControl w:val="0"/>
                    <w:spacing w:line="240" w:lineRule="auto"/>
                    <w:ind w:firstLine="0" w:firstLineChars="0"/>
                    <w:jc w:val="center"/>
                    <w:rPr>
                      <w:sz w:val="21"/>
                      <w:szCs w:val="21"/>
                    </w:rPr>
                  </w:pPr>
                  <w:r>
                    <w:rPr>
                      <w:rFonts w:hint="eastAsia"/>
                      <w:sz w:val="21"/>
                      <w:szCs w:val="21"/>
                    </w:rPr>
                    <w:t>75</w:t>
                  </w:r>
                </w:p>
              </w:tc>
              <w:tc>
                <w:tcPr>
                  <w:tcW w:w="939" w:type="dxa"/>
                  <w:tcBorders>
                    <w:tl2br w:val="nil"/>
                    <w:tr2bl w:val="nil"/>
                  </w:tcBorders>
                  <w:vAlign w:val="center"/>
                </w:tcPr>
                <w:p>
                  <w:pPr>
                    <w:pStyle w:val="71"/>
                  </w:pPr>
                  <w:r>
                    <w:t>15</w:t>
                  </w:r>
                </w:p>
              </w:tc>
              <w:tc>
                <w:tcPr>
                  <w:tcW w:w="649" w:type="dxa"/>
                  <w:tcBorders>
                    <w:tl2br w:val="nil"/>
                    <w:tr2bl w:val="nil"/>
                  </w:tcBorders>
                  <w:vAlign w:val="center"/>
                </w:tcPr>
                <w:p>
                  <w:pPr>
                    <w:pStyle w:val="71"/>
                    <w:rPr>
                      <w:lang w:bidi="he-IL"/>
                    </w:rPr>
                  </w:pPr>
                  <w:r>
                    <w:rPr>
                      <w:rFonts w:hint="eastAsia"/>
                      <w:lang w:bidi="he-IL"/>
                    </w:rPr>
                    <w:t>60</w:t>
                  </w:r>
                </w:p>
              </w:tc>
              <w:tc>
                <w:tcPr>
                  <w:tcW w:w="840" w:type="dxa"/>
                  <w:tcBorders>
                    <w:tl2br w:val="nil"/>
                    <w:tr2bl w:val="nil"/>
                  </w:tcBorders>
                  <w:vAlign w:val="center"/>
                </w:tcPr>
                <w:p>
                  <w:pPr>
                    <w:pStyle w:val="71"/>
                    <w:rPr>
                      <w:lang w:bidi="he-IL"/>
                    </w:rPr>
                  </w:pPr>
                  <w:r>
                    <w:rPr>
                      <w:rFonts w:hint="eastAsia"/>
                      <w:lang w:bidi="he-IL"/>
                    </w:rPr>
                    <w:t>33.9</w:t>
                  </w:r>
                </w:p>
              </w:tc>
              <w:tc>
                <w:tcPr>
                  <w:tcW w:w="840" w:type="dxa"/>
                  <w:tcBorders>
                    <w:tl2br w:val="nil"/>
                    <w:tr2bl w:val="nil"/>
                  </w:tcBorders>
                  <w:vAlign w:val="center"/>
                </w:tcPr>
                <w:p>
                  <w:pPr>
                    <w:pStyle w:val="71"/>
                  </w:pPr>
                  <w:r>
                    <w:rPr>
                      <w:rFonts w:hint="eastAsia"/>
                    </w:rPr>
                    <w:t>23.1</w:t>
                  </w:r>
                </w:p>
              </w:tc>
              <w:tc>
                <w:tcPr>
                  <w:tcW w:w="811" w:type="dxa"/>
                  <w:tcBorders>
                    <w:tl2br w:val="nil"/>
                    <w:tr2bl w:val="nil"/>
                  </w:tcBorders>
                  <w:vAlign w:val="center"/>
                </w:tcPr>
                <w:p>
                  <w:pPr>
                    <w:pStyle w:val="71"/>
                  </w:pPr>
                  <w:r>
                    <w:rPr>
                      <w:rFonts w:hint="eastAsia"/>
                    </w:rPr>
                    <w:t>24.4</w:t>
                  </w:r>
                </w:p>
              </w:tc>
              <w:tc>
                <w:tcPr>
                  <w:tcW w:w="857" w:type="dxa"/>
                  <w:tcBorders>
                    <w:tl2br w:val="nil"/>
                    <w:tr2bl w:val="nil"/>
                  </w:tcBorders>
                  <w:vAlign w:val="center"/>
                </w:tcPr>
                <w:p>
                  <w:pPr>
                    <w:pStyle w:val="71"/>
                    <w:rPr>
                      <w:lang w:bidi="he-IL"/>
                    </w:rPr>
                  </w:pPr>
                  <w:r>
                    <w:rPr>
                      <w:rFonts w:hint="eastAsia"/>
                    </w:rPr>
                    <w:t>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1" w:hRule="atLeast"/>
                <w:jc w:val="center"/>
              </w:trPr>
              <w:tc>
                <w:tcPr>
                  <w:tcW w:w="3910" w:type="dxa"/>
                  <w:gridSpan w:val="5"/>
                  <w:tcBorders>
                    <w:tl2br w:val="nil"/>
                    <w:tr2bl w:val="nil"/>
                  </w:tcBorders>
                  <w:vAlign w:val="center"/>
                </w:tcPr>
                <w:p>
                  <w:pPr>
                    <w:pStyle w:val="71"/>
                    <w:rPr>
                      <w:lang w:bidi="he-IL"/>
                    </w:rPr>
                  </w:pPr>
                  <w:r>
                    <w:t>叠加后噪声值</w:t>
                  </w:r>
                </w:p>
              </w:tc>
              <w:tc>
                <w:tcPr>
                  <w:tcW w:w="840" w:type="dxa"/>
                  <w:tcBorders>
                    <w:tl2br w:val="nil"/>
                    <w:tr2bl w:val="nil"/>
                  </w:tcBorders>
                  <w:vAlign w:val="center"/>
                </w:tcPr>
                <w:p>
                  <w:pPr>
                    <w:pStyle w:val="71"/>
                    <w:rPr>
                      <w:lang w:bidi="he-IL"/>
                    </w:rPr>
                  </w:pPr>
                  <w:r>
                    <w:rPr>
                      <w:rFonts w:hint="eastAsia"/>
                      <w:lang w:bidi="he-IL"/>
                    </w:rPr>
                    <w:t>48.56</w:t>
                  </w:r>
                </w:p>
              </w:tc>
              <w:tc>
                <w:tcPr>
                  <w:tcW w:w="840" w:type="dxa"/>
                  <w:tcBorders>
                    <w:tl2br w:val="nil"/>
                    <w:tr2bl w:val="nil"/>
                  </w:tcBorders>
                  <w:vAlign w:val="center"/>
                </w:tcPr>
                <w:p>
                  <w:pPr>
                    <w:pStyle w:val="71"/>
                    <w:rPr>
                      <w:lang w:bidi="he-IL"/>
                    </w:rPr>
                  </w:pPr>
                  <w:r>
                    <w:rPr>
                      <w:rFonts w:hint="eastAsia"/>
                      <w:lang w:bidi="he-IL"/>
                    </w:rPr>
                    <w:t>45.07</w:t>
                  </w:r>
                </w:p>
              </w:tc>
              <w:tc>
                <w:tcPr>
                  <w:tcW w:w="811" w:type="dxa"/>
                  <w:tcBorders>
                    <w:tl2br w:val="nil"/>
                    <w:tr2bl w:val="nil"/>
                  </w:tcBorders>
                  <w:vAlign w:val="center"/>
                </w:tcPr>
                <w:p>
                  <w:pPr>
                    <w:pStyle w:val="71"/>
                    <w:rPr>
                      <w:lang w:bidi="he-IL"/>
                    </w:rPr>
                  </w:pPr>
                  <w:r>
                    <w:rPr>
                      <w:rFonts w:hint="eastAsia"/>
                      <w:lang w:bidi="he-IL"/>
                    </w:rPr>
                    <w:t>46.41</w:t>
                  </w:r>
                </w:p>
              </w:tc>
              <w:tc>
                <w:tcPr>
                  <w:tcW w:w="857" w:type="dxa"/>
                  <w:tcBorders>
                    <w:tl2br w:val="nil"/>
                    <w:tr2bl w:val="nil"/>
                  </w:tcBorders>
                  <w:vAlign w:val="center"/>
                </w:tcPr>
                <w:p>
                  <w:pPr>
                    <w:pStyle w:val="71"/>
                    <w:rPr>
                      <w:lang w:bidi="he-IL"/>
                    </w:rPr>
                  </w:pPr>
                  <w:r>
                    <w:rPr>
                      <w:rFonts w:hint="eastAsia"/>
                      <w:lang w:bidi="he-IL"/>
                    </w:rPr>
                    <w:t>41.63</w:t>
                  </w:r>
                </w:p>
              </w:tc>
            </w:tr>
          </w:tbl>
          <w:p>
            <w:pPr>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kern w:val="0"/>
                <w:sz w:val="24"/>
                <w:lang w:bidi="ar"/>
              </w:rPr>
              <w:t>根据以上预测分析，项目经过选用低噪声设备、基础减振和消声后，运营期厂界噪声能达到《工业企业厂界环境噪声排放标准》（GB12348-2008）中的</w:t>
            </w:r>
            <w:r>
              <w:rPr>
                <w:rFonts w:hint="eastAsia" w:ascii="Times New Roman" w:hAnsi="Times New Roman" w:eastAsia="宋体" w:cs="Times New Roman"/>
                <w:kern w:val="0"/>
                <w:sz w:val="24"/>
                <w:lang w:bidi="ar"/>
              </w:rPr>
              <w:t>2</w:t>
            </w:r>
            <w:r>
              <w:rPr>
                <w:rFonts w:ascii="Times New Roman" w:hAnsi="Times New Roman" w:eastAsia="宋体" w:cs="Times New Roman"/>
                <w:kern w:val="0"/>
                <w:sz w:val="24"/>
                <w:lang w:bidi="ar"/>
              </w:rPr>
              <w:t>类标准要求，对周围环境影响较小。且厂界50m范围内没有声环境敏感点，噪声对周围环境影响较小。本次环评提出，应加强生产设备管理，定期对生产设备进行擦拭和检修，保持生产设备的正常运转，从噪声源本身降低源强，减少噪声对周围环境的影响。</w:t>
            </w:r>
          </w:p>
          <w:p>
            <w:pPr>
              <w:adjustRightInd w:val="0"/>
              <w:snapToGrid w:val="0"/>
              <w:spacing w:line="360" w:lineRule="auto"/>
              <w:ind w:firstLine="482" w:firstLineChars="200"/>
              <w:rPr>
                <w:rFonts w:ascii="Times New Roman" w:hAnsi="Times New Roman" w:eastAsia="宋体" w:cs="Times New Roman"/>
                <w:sz w:val="24"/>
              </w:rPr>
            </w:pPr>
            <w:r>
              <w:rPr>
                <w:rFonts w:ascii="Times New Roman" w:hAnsi="Times New Roman" w:eastAsia="宋体" w:cs="Times New Roman"/>
                <w:b/>
                <w:bCs/>
                <w:sz w:val="24"/>
              </w:rPr>
              <w:t>2、噪声环境影响及保护措施分析</w:t>
            </w:r>
          </w:p>
          <w:p>
            <w:pPr>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为最大限度地减小本项目运营期对周围声环境的影响，本环评提出以下措施。</w:t>
            </w:r>
          </w:p>
          <w:p>
            <w:pPr>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（1）尽量选择低噪声型设备，在高噪声设备上安装减振垫，采用隔声、吸声、减振等措施；</w:t>
            </w:r>
          </w:p>
          <w:p>
            <w:pPr>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（2）根据厂区实际情况和设备产生的噪声大小，对设备进行合理布局，将噪声较大的设备及作业区设置在有墙体围挡一侧；</w:t>
            </w:r>
          </w:p>
          <w:p>
            <w:pPr>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（3）加强设备管理，对设备定期检查维护，加强设备日常保养，及时淘汰落后设备；制定严格的作业操作规程，避免不必要的撞击噪声。</w:t>
            </w:r>
          </w:p>
          <w:p>
            <w:pPr>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（4）在项目内种植植物，形成绿化屏障等防治措施。</w:t>
            </w:r>
          </w:p>
          <w:p>
            <w:pPr>
              <w:pStyle w:val="43"/>
              <w:widowControl w:val="0"/>
              <w:ind w:firstLine="480"/>
              <w:jc w:val="both"/>
              <w:rPr>
                <w:b/>
                <w:bCs/>
                <w:sz w:val="24"/>
                <w:szCs w:val="24"/>
              </w:rPr>
            </w:pPr>
            <w:r>
              <w:rPr>
                <w:sz w:val="24"/>
                <w:szCs w:val="24"/>
              </w:rPr>
              <w:t>通过采取上述措施后，项目区机械设备产生的噪声对周边环境影响较小。</w:t>
            </w:r>
          </w:p>
          <w:p>
            <w:pPr>
              <w:widowControl/>
              <w:adjustRightInd w:val="0"/>
              <w:snapToGrid w:val="0"/>
              <w:spacing w:line="360" w:lineRule="auto"/>
              <w:ind w:firstLine="482" w:firstLineChars="200"/>
              <w:rPr>
                <w:rFonts w:ascii="Times New Roman" w:hAnsi="Times New Roman" w:eastAsia="宋体" w:cs="Times New Roman"/>
                <w:b/>
                <w:bCs/>
                <w:sz w:val="24"/>
              </w:rPr>
            </w:pPr>
            <w:r>
              <w:rPr>
                <w:rFonts w:ascii="Times New Roman" w:hAnsi="Times New Roman" w:eastAsia="宋体" w:cs="Times New Roman"/>
                <w:b/>
                <w:bCs/>
                <w:sz w:val="24"/>
              </w:rPr>
              <w:t>3、环境监测</w:t>
            </w:r>
          </w:p>
          <w:p>
            <w:pPr>
              <w:pStyle w:val="54"/>
              <w:tabs>
                <w:tab w:val="left" w:pos="1296"/>
              </w:tabs>
              <w:autoSpaceDE/>
              <w:autoSpaceDN/>
              <w:adjustRightInd w:val="0"/>
              <w:snapToGrid w:val="0"/>
              <w:spacing w:line="360" w:lineRule="auto"/>
              <w:ind w:firstLine="480" w:firstLineChars="200"/>
              <w:jc w:val="both"/>
              <w:rPr>
                <w:rFonts w:ascii="Times New Roman" w:hAnsi="Times New Roman" w:cs="Times New Roman"/>
                <w:sz w:val="24"/>
                <w:szCs w:val="24"/>
              </w:rPr>
            </w:pPr>
            <w:r>
              <w:rPr>
                <w:rFonts w:ascii="Times New Roman" w:hAnsi="Times New Roman" w:cs="Times New Roman"/>
                <w:sz w:val="24"/>
                <w:szCs w:val="24"/>
              </w:rPr>
              <w:t>本环评提出声环境监测计划见表</w:t>
            </w:r>
            <w:r>
              <w:rPr>
                <w:rFonts w:hint="eastAsia" w:ascii="Times New Roman" w:hAnsi="Times New Roman" w:cs="Times New Roman"/>
                <w:sz w:val="24"/>
                <w:szCs w:val="24"/>
              </w:rPr>
              <w:t>4-14</w:t>
            </w:r>
            <w:r>
              <w:rPr>
                <w:rFonts w:ascii="Times New Roman" w:hAnsi="Times New Roman" w:cs="Times New Roman"/>
                <w:sz w:val="24"/>
                <w:szCs w:val="24"/>
              </w:rPr>
              <w:t>。</w:t>
            </w:r>
          </w:p>
          <w:p>
            <w:pPr>
              <w:adjustRightInd w:val="0"/>
              <w:snapToGrid w:val="0"/>
              <w:jc w:val="center"/>
              <w:textAlignment w:val="baseline"/>
              <w:rPr>
                <w:rFonts w:ascii="Times New Roman" w:hAnsi="Times New Roman" w:eastAsia="宋体" w:cs="Times New Roman"/>
                <w:b/>
                <w:bCs/>
                <w:szCs w:val="21"/>
              </w:rPr>
            </w:pPr>
            <w:r>
              <w:rPr>
                <w:rFonts w:ascii="Times New Roman" w:hAnsi="Times New Roman" w:eastAsia="宋体" w:cs="Times New Roman"/>
                <w:b/>
                <w:bCs/>
                <w:szCs w:val="21"/>
              </w:rPr>
              <w:t>表4-1</w:t>
            </w:r>
            <w:r>
              <w:rPr>
                <w:rFonts w:hint="eastAsia" w:ascii="Times New Roman" w:hAnsi="Times New Roman" w:eastAsia="宋体" w:cs="Times New Roman"/>
                <w:b/>
                <w:bCs/>
                <w:szCs w:val="21"/>
              </w:rPr>
              <w:t>4</w:t>
            </w:r>
            <w:r>
              <w:rPr>
                <w:rFonts w:ascii="Times New Roman" w:hAnsi="Times New Roman" w:eastAsia="宋体" w:cs="Times New Roman"/>
                <w:b/>
                <w:bCs/>
                <w:szCs w:val="21"/>
              </w:rPr>
              <w:t xml:space="preserve"> 项目噪声环境监测计划一览表</w:t>
            </w:r>
          </w:p>
          <w:tbl>
            <w:tblPr>
              <w:tblStyle w:val="29"/>
              <w:tblW w:w="757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0"/>
              <w:gridCol w:w="1189"/>
              <w:gridCol w:w="2178"/>
              <w:gridCol w:w="1340"/>
              <w:gridCol w:w="22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40" w:type="dxa"/>
                  <w:tcBorders>
                    <w:tl2br w:val="nil"/>
                    <w:tr2bl w:val="nil"/>
                  </w:tcBorders>
                  <w:vAlign w:val="center"/>
                </w:tcPr>
                <w:p>
                  <w:pPr>
                    <w:pStyle w:val="54"/>
                    <w:autoSpaceDE/>
                    <w:autoSpaceDN/>
                    <w:adjustRightInd w:val="0"/>
                    <w:snapToGrid w:val="0"/>
                    <w:jc w:val="center"/>
                    <w:rPr>
                      <w:rFonts w:ascii="Times New Roman" w:hAnsi="Times New Roman" w:cs="Times New Roman"/>
                      <w:b/>
                      <w:bCs/>
                      <w:sz w:val="21"/>
                      <w:szCs w:val="21"/>
                    </w:rPr>
                  </w:pPr>
                  <w:r>
                    <w:rPr>
                      <w:rFonts w:ascii="Times New Roman" w:hAnsi="Times New Roman" w:cs="Times New Roman"/>
                      <w:b/>
                      <w:bCs/>
                      <w:sz w:val="21"/>
                      <w:szCs w:val="21"/>
                    </w:rPr>
                    <w:t>编号</w:t>
                  </w:r>
                </w:p>
              </w:tc>
              <w:tc>
                <w:tcPr>
                  <w:tcW w:w="1189" w:type="dxa"/>
                  <w:tcBorders>
                    <w:tl2br w:val="nil"/>
                    <w:tr2bl w:val="nil"/>
                  </w:tcBorders>
                  <w:vAlign w:val="center"/>
                </w:tcPr>
                <w:p>
                  <w:pPr>
                    <w:pStyle w:val="54"/>
                    <w:autoSpaceDE/>
                    <w:autoSpaceDN/>
                    <w:adjustRightInd w:val="0"/>
                    <w:snapToGrid w:val="0"/>
                    <w:jc w:val="center"/>
                    <w:rPr>
                      <w:rFonts w:ascii="Times New Roman" w:hAnsi="Times New Roman" w:cs="Times New Roman"/>
                      <w:b/>
                      <w:bCs/>
                      <w:sz w:val="21"/>
                      <w:szCs w:val="21"/>
                    </w:rPr>
                  </w:pPr>
                  <w:r>
                    <w:rPr>
                      <w:rFonts w:ascii="Times New Roman" w:hAnsi="Times New Roman" w:cs="Times New Roman"/>
                      <w:b/>
                      <w:bCs/>
                      <w:sz w:val="21"/>
                      <w:szCs w:val="21"/>
                    </w:rPr>
                    <w:t>监测点位</w:t>
                  </w:r>
                </w:p>
              </w:tc>
              <w:tc>
                <w:tcPr>
                  <w:tcW w:w="2178" w:type="dxa"/>
                  <w:tcBorders>
                    <w:tl2br w:val="nil"/>
                    <w:tr2bl w:val="nil"/>
                  </w:tcBorders>
                  <w:vAlign w:val="center"/>
                </w:tcPr>
                <w:p>
                  <w:pPr>
                    <w:pStyle w:val="54"/>
                    <w:autoSpaceDE/>
                    <w:autoSpaceDN/>
                    <w:adjustRightInd w:val="0"/>
                    <w:snapToGrid w:val="0"/>
                    <w:jc w:val="center"/>
                    <w:rPr>
                      <w:rFonts w:ascii="Times New Roman" w:hAnsi="Times New Roman" w:cs="Times New Roman"/>
                      <w:b/>
                      <w:bCs/>
                      <w:sz w:val="21"/>
                      <w:szCs w:val="21"/>
                    </w:rPr>
                  </w:pPr>
                  <w:r>
                    <w:rPr>
                      <w:rFonts w:ascii="Times New Roman" w:hAnsi="Times New Roman" w:cs="Times New Roman"/>
                      <w:b/>
                      <w:bCs/>
                      <w:sz w:val="21"/>
                      <w:szCs w:val="21"/>
                    </w:rPr>
                    <w:t>监测参数</w:t>
                  </w:r>
                </w:p>
              </w:tc>
              <w:tc>
                <w:tcPr>
                  <w:tcW w:w="1340" w:type="dxa"/>
                  <w:tcBorders>
                    <w:tl2br w:val="nil"/>
                    <w:tr2bl w:val="nil"/>
                  </w:tcBorders>
                  <w:vAlign w:val="center"/>
                </w:tcPr>
                <w:p>
                  <w:pPr>
                    <w:pStyle w:val="54"/>
                    <w:autoSpaceDE/>
                    <w:autoSpaceDN/>
                    <w:adjustRightInd w:val="0"/>
                    <w:snapToGrid w:val="0"/>
                    <w:jc w:val="center"/>
                    <w:rPr>
                      <w:rFonts w:ascii="Times New Roman" w:hAnsi="Times New Roman" w:cs="Times New Roman"/>
                      <w:b/>
                      <w:bCs/>
                      <w:sz w:val="21"/>
                      <w:szCs w:val="21"/>
                    </w:rPr>
                  </w:pPr>
                  <w:r>
                    <w:rPr>
                      <w:rFonts w:ascii="Times New Roman" w:hAnsi="Times New Roman" w:cs="Times New Roman"/>
                      <w:b/>
                      <w:bCs/>
                      <w:sz w:val="21"/>
                      <w:szCs w:val="21"/>
                    </w:rPr>
                    <w:t>监测频率</w:t>
                  </w:r>
                </w:p>
              </w:tc>
              <w:tc>
                <w:tcPr>
                  <w:tcW w:w="2230" w:type="dxa"/>
                  <w:tcBorders>
                    <w:tl2br w:val="nil"/>
                    <w:tr2bl w:val="nil"/>
                  </w:tcBorders>
                  <w:vAlign w:val="center"/>
                </w:tcPr>
                <w:p>
                  <w:pPr>
                    <w:pStyle w:val="54"/>
                    <w:autoSpaceDE/>
                    <w:autoSpaceDN/>
                    <w:adjustRightInd w:val="0"/>
                    <w:snapToGrid w:val="0"/>
                    <w:jc w:val="center"/>
                    <w:rPr>
                      <w:rFonts w:ascii="Times New Roman" w:hAnsi="Times New Roman" w:cs="Times New Roman"/>
                      <w:b/>
                      <w:bCs/>
                      <w:sz w:val="21"/>
                      <w:szCs w:val="21"/>
                    </w:rPr>
                  </w:pPr>
                  <w:r>
                    <w:rPr>
                      <w:rFonts w:ascii="Times New Roman" w:hAnsi="Times New Roman" w:cs="Times New Roman"/>
                      <w:b/>
                      <w:bCs/>
                      <w:sz w:val="21"/>
                      <w:szCs w:val="21"/>
                    </w:rPr>
                    <w:t>执行标准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40" w:type="dxa"/>
                  <w:tcBorders>
                    <w:tl2br w:val="nil"/>
                    <w:tr2bl w:val="nil"/>
                  </w:tcBorders>
                  <w:vAlign w:val="center"/>
                </w:tcPr>
                <w:p>
                  <w:pPr>
                    <w:pStyle w:val="54"/>
                    <w:autoSpaceDE/>
                    <w:autoSpaceDN/>
                    <w:adjustRightInd w:val="0"/>
                    <w:snapToGrid w:val="0"/>
                    <w:jc w:val="center"/>
                    <w:rPr>
                      <w:rFonts w:ascii="Times New Roman" w:hAnsi="Times New Roman" w:cs="Times New Roman"/>
                      <w:sz w:val="21"/>
                      <w:szCs w:val="21"/>
                    </w:rPr>
                  </w:pPr>
                  <w:r>
                    <w:rPr>
                      <w:rFonts w:ascii="Times New Roman" w:hAnsi="Times New Roman" w:cs="Times New Roman"/>
                      <w:sz w:val="21"/>
                      <w:szCs w:val="21"/>
                    </w:rPr>
                    <w:t>N1</w:t>
                  </w:r>
                </w:p>
              </w:tc>
              <w:tc>
                <w:tcPr>
                  <w:tcW w:w="1189" w:type="dxa"/>
                  <w:tcBorders>
                    <w:tl2br w:val="nil"/>
                    <w:tr2bl w:val="nil"/>
                  </w:tcBorders>
                  <w:vAlign w:val="center"/>
                </w:tcPr>
                <w:p>
                  <w:pPr>
                    <w:pStyle w:val="54"/>
                    <w:autoSpaceDE/>
                    <w:autoSpaceDN/>
                    <w:adjustRightInd w:val="0"/>
                    <w:snapToGrid w:val="0"/>
                    <w:jc w:val="center"/>
                    <w:rPr>
                      <w:rFonts w:ascii="Times New Roman" w:hAnsi="Times New Roman" w:cs="Times New Roman"/>
                      <w:sz w:val="21"/>
                      <w:szCs w:val="21"/>
                    </w:rPr>
                  </w:pPr>
                  <w:r>
                    <w:rPr>
                      <w:rFonts w:ascii="Times New Roman" w:hAnsi="Times New Roman" w:cs="Times New Roman"/>
                      <w:sz w:val="21"/>
                      <w:szCs w:val="21"/>
                    </w:rPr>
                    <w:t>项目东厂界</w:t>
                  </w:r>
                </w:p>
              </w:tc>
              <w:tc>
                <w:tcPr>
                  <w:tcW w:w="2178" w:type="dxa"/>
                  <w:tcBorders>
                    <w:tl2br w:val="nil"/>
                    <w:tr2bl w:val="nil"/>
                  </w:tcBorders>
                  <w:vAlign w:val="center"/>
                </w:tcPr>
                <w:p>
                  <w:pPr>
                    <w:pStyle w:val="54"/>
                    <w:autoSpaceDE/>
                    <w:autoSpaceDN/>
                    <w:adjustRightInd w:val="0"/>
                    <w:snapToGrid w:val="0"/>
                    <w:jc w:val="center"/>
                    <w:rPr>
                      <w:rFonts w:ascii="Times New Roman" w:hAnsi="Times New Roman" w:cs="Times New Roman"/>
                      <w:sz w:val="21"/>
                      <w:szCs w:val="21"/>
                    </w:rPr>
                  </w:pPr>
                  <w:r>
                    <w:rPr>
                      <w:rFonts w:ascii="Times New Roman" w:hAnsi="Times New Roman" w:cs="Times New Roman"/>
                      <w:sz w:val="21"/>
                      <w:szCs w:val="21"/>
                    </w:rPr>
                    <w:t>等效连续噪声A声级</w:t>
                  </w:r>
                </w:p>
              </w:tc>
              <w:tc>
                <w:tcPr>
                  <w:tcW w:w="1340" w:type="dxa"/>
                  <w:vMerge w:val="restart"/>
                  <w:tcBorders>
                    <w:tl2br w:val="nil"/>
                    <w:tr2bl w:val="nil"/>
                  </w:tcBorders>
                  <w:vAlign w:val="center"/>
                </w:tcPr>
                <w:p>
                  <w:pPr>
                    <w:pStyle w:val="54"/>
                    <w:autoSpaceDE/>
                    <w:autoSpaceDN/>
                    <w:adjustRightInd w:val="0"/>
                    <w:snapToGrid w:val="0"/>
                    <w:jc w:val="both"/>
                    <w:rPr>
                      <w:rFonts w:ascii="Times New Roman" w:hAnsi="Times New Roman" w:cs="Times New Roman"/>
                      <w:sz w:val="21"/>
                      <w:szCs w:val="21"/>
                    </w:rPr>
                  </w:pPr>
                  <w:r>
                    <w:rPr>
                      <w:rFonts w:ascii="Times New Roman" w:hAnsi="Times New Roman" w:cs="Times New Roman"/>
                      <w:sz w:val="21"/>
                      <w:szCs w:val="21"/>
                    </w:rPr>
                    <w:t>半年/1次，监测2天，每天昼夜各监测1个时段。</w:t>
                  </w:r>
                </w:p>
              </w:tc>
              <w:tc>
                <w:tcPr>
                  <w:tcW w:w="2230" w:type="dxa"/>
                  <w:vMerge w:val="restart"/>
                  <w:tcBorders>
                    <w:tl2br w:val="nil"/>
                    <w:tr2bl w:val="nil"/>
                  </w:tcBorders>
                  <w:vAlign w:val="center"/>
                </w:tcPr>
                <w:p>
                  <w:pPr>
                    <w:pStyle w:val="54"/>
                    <w:autoSpaceDE/>
                    <w:autoSpaceDN/>
                    <w:adjustRightInd w:val="0"/>
                    <w:snapToGrid w:val="0"/>
                    <w:jc w:val="both"/>
                    <w:rPr>
                      <w:rFonts w:ascii="Times New Roman" w:hAnsi="Times New Roman" w:cs="Times New Roman"/>
                      <w:sz w:val="21"/>
                      <w:szCs w:val="21"/>
                    </w:rPr>
                  </w:pPr>
                  <w:r>
                    <w:rPr>
                      <w:rFonts w:ascii="Times New Roman" w:hAnsi="Times New Roman" w:cs="Times New Roman"/>
                      <w:sz w:val="21"/>
                      <w:szCs w:val="21"/>
                    </w:rPr>
                    <w:t>执行《工业企业厂界环境噪声排放标准》（GB12348-2008）</w:t>
                  </w:r>
                  <w:r>
                    <w:rPr>
                      <w:rFonts w:hint="eastAsia" w:ascii="Times New Roman" w:hAnsi="Times New Roman" w:cs="Times New Roman"/>
                      <w:sz w:val="21"/>
                      <w:szCs w:val="21"/>
                    </w:rPr>
                    <w:t>2</w:t>
                  </w:r>
                  <w:r>
                    <w:rPr>
                      <w:rFonts w:ascii="Times New Roman" w:hAnsi="Times New Roman" w:cs="Times New Roman"/>
                      <w:sz w:val="21"/>
                      <w:szCs w:val="21"/>
                    </w:rPr>
                    <w:t>类标准。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40" w:type="dxa"/>
                  <w:tcBorders>
                    <w:tl2br w:val="nil"/>
                    <w:tr2bl w:val="nil"/>
                  </w:tcBorders>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N2</w:t>
                  </w:r>
                </w:p>
              </w:tc>
              <w:tc>
                <w:tcPr>
                  <w:tcW w:w="1189" w:type="dxa"/>
                  <w:tcBorders>
                    <w:tl2br w:val="nil"/>
                    <w:tr2bl w:val="nil"/>
                  </w:tcBorders>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项目南厂界</w:t>
                  </w:r>
                </w:p>
              </w:tc>
              <w:tc>
                <w:tcPr>
                  <w:tcW w:w="2178" w:type="dxa"/>
                  <w:tcBorders>
                    <w:tl2br w:val="nil"/>
                    <w:tr2bl w:val="nil"/>
                  </w:tcBorders>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等效连续噪声A声级</w:t>
                  </w:r>
                </w:p>
              </w:tc>
              <w:tc>
                <w:tcPr>
                  <w:tcW w:w="1340" w:type="dxa"/>
                  <w:vMerge w:val="continue"/>
                  <w:tcBorders>
                    <w:tl2br w:val="nil"/>
                    <w:tr2bl w:val="nil"/>
                  </w:tcBorders>
                  <w:vAlign w:val="center"/>
                </w:tcPr>
                <w:p>
                  <w:pPr>
                    <w:pStyle w:val="54"/>
                    <w:autoSpaceDE/>
                    <w:autoSpaceDN/>
                    <w:adjustRightInd w:val="0"/>
                    <w:snapToGrid w:val="0"/>
                    <w:jc w:val="center"/>
                    <w:rPr>
                      <w:rFonts w:ascii="Times New Roman" w:hAnsi="Times New Roman" w:cs="Times New Roman"/>
                      <w:sz w:val="21"/>
                      <w:szCs w:val="21"/>
                    </w:rPr>
                  </w:pPr>
                </w:p>
              </w:tc>
              <w:tc>
                <w:tcPr>
                  <w:tcW w:w="2230" w:type="dxa"/>
                  <w:vMerge w:val="continue"/>
                  <w:tcBorders>
                    <w:tl2br w:val="nil"/>
                    <w:tr2bl w:val="nil"/>
                  </w:tcBorders>
                  <w:vAlign w:val="center"/>
                </w:tcPr>
                <w:p>
                  <w:pPr>
                    <w:pStyle w:val="54"/>
                    <w:autoSpaceDE/>
                    <w:autoSpaceDN/>
                    <w:adjustRightInd w:val="0"/>
                    <w:snapToGrid w:val="0"/>
                    <w:jc w:val="center"/>
                    <w:rPr>
                      <w:rFonts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40" w:type="dxa"/>
                  <w:tcBorders>
                    <w:tl2br w:val="nil"/>
                    <w:tr2bl w:val="nil"/>
                  </w:tcBorders>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N3</w:t>
                  </w:r>
                </w:p>
              </w:tc>
              <w:tc>
                <w:tcPr>
                  <w:tcW w:w="1189" w:type="dxa"/>
                  <w:tcBorders>
                    <w:tl2br w:val="nil"/>
                    <w:tr2bl w:val="nil"/>
                  </w:tcBorders>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项目西厂界</w:t>
                  </w:r>
                </w:p>
              </w:tc>
              <w:tc>
                <w:tcPr>
                  <w:tcW w:w="2178" w:type="dxa"/>
                  <w:tcBorders>
                    <w:tl2br w:val="nil"/>
                    <w:tr2bl w:val="nil"/>
                  </w:tcBorders>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等效连续噪声A声级</w:t>
                  </w:r>
                </w:p>
              </w:tc>
              <w:tc>
                <w:tcPr>
                  <w:tcW w:w="1340" w:type="dxa"/>
                  <w:vMerge w:val="continue"/>
                  <w:tcBorders>
                    <w:tl2br w:val="nil"/>
                    <w:tr2bl w:val="nil"/>
                  </w:tcBorders>
                  <w:vAlign w:val="center"/>
                </w:tcPr>
                <w:p>
                  <w:pPr>
                    <w:pStyle w:val="54"/>
                    <w:autoSpaceDE/>
                    <w:autoSpaceDN/>
                    <w:adjustRightInd w:val="0"/>
                    <w:snapToGrid w:val="0"/>
                    <w:jc w:val="center"/>
                    <w:rPr>
                      <w:rFonts w:ascii="Times New Roman" w:hAnsi="Times New Roman" w:cs="Times New Roman"/>
                      <w:sz w:val="21"/>
                      <w:szCs w:val="21"/>
                    </w:rPr>
                  </w:pPr>
                </w:p>
              </w:tc>
              <w:tc>
                <w:tcPr>
                  <w:tcW w:w="2230" w:type="dxa"/>
                  <w:vMerge w:val="continue"/>
                  <w:tcBorders>
                    <w:tl2br w:val="nil"/>
                    <w:tr2bl w:val="nil"/>
                  </w:tcBorders>
                  <w:vAlign w:val="center"/>
                </w:tcPr>
                <w:p>
                  <w:pPr>
                    <w:pStyle w:val="54"/>
                    <w:autoSpaceDE/>
                    <w:autoSpaceDN/>
                    <w:adjustRightInd w:val="0"/>
                    <w:snapToGrid w:val="0"/>
                    <w:jc w:val="center"/>
                    <w:rPr>
                      <w:rFonts w:ascii="Times New Roman" w:hAnsi="Times New Roman"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40" w:type="dxa"/>
                  <w:tcBorders>
                    <w:tl2br w:val="nil"/>
                    <w:tr2bl w:val="nil"/>
                  </w:tcBorders>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N4</w:t>
                  </w:r>
                </w:p>
              </w:tc>
              <w:tc>
                <w:tcPr>
                  <w:tcW w:w="1189" w:type="dxa"/>
                  <w:tcBorders>
                    <w:tl2br w:val="nil"/>
                    <w:tr2bl w:val="nil"/>
                  </w:tcBorders>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项目北厂界</w:t>
                  </w:r>
                </w:p>
              </w:tc>
              <w:tc>
                <w:tcPr>
                  <w:tcW w:w="2178" w:type="dxa"/>
                  <w:tcBorders>
                    <w:tl2br w:val="nil"/>
                    <w:tr2bl w:val="nil"/>
                  </w:tcBorders>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等效连续噪声A声级</w:t>
                  </w:r>
                </w:p>
              </w:tc>
              <w:tc>
                <w:tcPr>
                  <w:tcW w:w="1340" w:type="dxa"/>
                  <w:vMerge w:val="continue"/>
                  <w:tcBorders>
                    <w:tl2br w:val="nil"/>
                    <w:tr2bl w:val="nil"/>
                  </w:tcBorders>
                  <w:vAlign w:val="center"/>
                </w:tcPr>
                <w:p>
                  <w:pPr>
                    <w:pStyle w:val="54"/>
                    <w:autoSpaceDE/>
                    <w:autoSpaceDN/>
                    <w:adjustRightInd w:val="0"/>
                    <w:snapToGrid w:val="0"/>
                    <w:jc w:val="center"/>
                    <w:rPr>
                      <w:rFonts w:ascii="Times New Roman" w:hAnsi="Times New Roman" w:cs="Times New Roman"/>
                      <w:sz w:val="21"/>
                      <w:szCs w:val="21"/>
                    </w:rPr>
                  </w:pPr>
                </w:p>
              </w:tc>
              <w:tc>
                <w:tcPr>
                  <w:tcW w:w="2230" w:type="dxa"/>
                  <w:vMerge w:val="continue"/>
                  <w:tcBorders>
                    <w:tl2br w:val="nil"/>
                    <w:tr2bl w:val="nil"/>
                  </w:tcBorders>
                  <w:vAlign w:val="center"/>
                </w:tcPr>
                <w:p>
                  <w:pPr>
                    <w:pStyle w:val="54"/>
                    <w:autoSpaceDE/>
                    <w:autoSpaceDN/>
                    <w:adjustRightInd w:val="0"/>
                    <w:snapToGrid w:val="0"/>
                    <w:jc w:val="center"/>
                    <w:rPr>
                      <w:rFonts w:ascii="Times New Roman" w:hAnsi="Times New Roman" w:cs="Times New Roman"/>
                      <w:sz w:val="21"/>
                      <w:szCs w:val="21"/>
                    </w:rPr>
                  </w:pPr>
                </w:p>
              </w:tc>
            </w:tr>
          </w:tbl>
          <w:p>
            <w:pPr>
              <w:pStyle w:val="43"/>
              <w:widowControl w:val="0"/>
              <w:ind w:firstLine="0" w:firstLineChars="0"/>
              <w:jc w:val="both"/>
              <w:rPr>
                <w:b/>
                <w:bCs/>
                <w:sz w:val="21"/>
                <w:szCs w:val="21"/>
              </w:rPr>
            </w:pPr>
          </w:p>
          <w:p>
            <w:pPr>
              <w:adjustRightInd w:val="0"/>
              <w:snapToGrid w:val="0"/>
              <w:spacing w:line="360" w:lineRule="auto"/>
              <w:ind w:firstLine="482" w:firstLineChars="200"/>
              <w:rPr>
                <w:rFonts w:ascii="Times New Roman" w:hAnsi="Times New Roman" w:eastAsia="宋体" w:cs="Times New Roman"/>
                <w:b/>
                <w:bCs/>
                <w:sz w:val="24"/>
                <w:highlight w:val="yellow"/>
              </w:rPr>
            </w:pPr>
            <w:r>
              <w:rPr>
                <w:rFonts w:ascii="Times New Roman" w:hAnsi="Times New Roman" w:eastAsia="宋体" w:cs="Times New Roman"/>
                <w:b/>
                <w:bCs/>
                <w:sz w:val="24"/>
              </w:rPr>
              <w:t>四、运营期固体废物的环境影响和保护措施</w:t>
            </w:r>
          </w:p>
          <w:p>
            <w:pPr>
              <w:pStyle w:val="43"/>
              <w:widowControl w:val="0"/>
              <w:ind w:firstLine="482"/>
              <w:jc w:val="both"/>
              <w:rPr>
                <w:b/>
                <w:bCs/>
                <w:sz w:val="24"/>
                <w:szCs w:val="24"/>
                <w:lang w:bidi="ar"/>
              </w:rPr>
            </w:pPr>
            <w:r>
              <w:rPr>
                <w:b/>
                <w:bCs/>
                <w:sz w:val="24"/>
                <w:szCs w:val="24"/>
                <w:lang w:bidi="ar"/>
              </w:rPr>
              <w:t>1、固废产排情况</w:t>
            </w:r>
          </w:p>
          <w:p>
            <w:pPr>
              <w:widowControl/>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kern w:val="0"/>
                <w:sz w:val="24"/>
                <w:lang w:bidi="ar"/>
              </w:rPr>
              <w:t>本项目在运营过程中，产生的固体废物主要为工作人员产生的</w:t>
            </w:r>
            <w:r>
              <w:rPr>
                <w:rFonts w:ascii="Times New Roman" w:hAnsi="Times New Roman" w:eastAsia="宋体" w:cs="Times New Roman"/>
                <w:spacing w:val="9"/>
                <w:sz w:val="24"/>
              </w:rPr>
              <w:t>生活垃圾、</w:t>
            </w:r>
            <w:r>
              <w:rPr>
                <w:rFonts w:hint="eastAsia" w:ascii="Times New Roman" w:hAnsi="Times New Roman" w:eastAsia="宋体" w:cs="Times New Roman"/>
                <w:spacing w:val="9"/>
                <w:sz w:val="24"/>
              </w:rPr>
              <w:t>沉淀池污泥、</w:t>
            </w:r>
            <w:r>
              <w:rPr>
                <w:rFonts w:ascii="Times New Roman" w:hAnsi="Times New Roman" w:eastAsia="宋体" w:cs="Times New Roman"/>
                <w:spacing w:val="9"/>
                <w:sz w:val="24"/>
              </w:rPr>
              <w:t>废润滑油</w:t>
            </w:r>
            <w:r>
              <w:rPr>
                <w:rFonts w:ascii="Times New Roman" w:hAnsi="Times New Roman" w:eastAsia="宋体" w:cs="Times New Roman"/>
                <w:kern w:val="0"/>
                <w:sz w:val="24"/>
                <w:lang w:bidi="ar"/>
              </w:rPr>
              <w:t>。</w:t>
            </w:r>
          </w:p>
          <w:p>
            <w:pPr>
              <w:pStyle w:val="16"/>
              <w:adjustRightInd w:val="0"/>
              <w:snapToGrid w:val="0"/>
              <w:spacing w:line="360" w:lineRule="auto"/>
              <w:ind w:firstLine="482" w:firstLineChars="200"/>
              <w:rPr>
                <w:rFonts w:ascii="Times New Roman" w:hAnsi="Times New Roman" w:eastAsia="宋体" w:cs="Times New Roman"/>
                <w:b/>
                <w:bCs/>
                <w:kern w:val="0"/>
                <w:sz w:val="24"/>
              </w:rPr>
            </w:pPr>
            <w:r>
              <w:rPr>
                <w:rFonts w:ascii="Times New Roman" w:hAnsi="Times New Roman" w:eastAsia="宋体" w:cs="Times New Roman"/>
                <w:b/>
                <w:bCs/>
                <w:kern w:val="0"/>
                <w:sz w:val="24"/>
              </w:rPr>
              <w:t>（1）一般固废</w:t>
            </w:r>
          </w:p>
          <w:p>
            <w:pPr>
              <w:pStyle w:val="16"/>
              <w:adjustRightInd w:val="0"/>
              <w:snapToGrid w:val="0"/>
              <w:spacing w:line="360" w:lineRule="auto"/>
              <w:ind w:firstLine="480" w:firstLineChars="200"/>
              <w:rPr>
                <w:rFonts w:ascii="Times New Roman" w:hAnsi="Times New Roman" w:eastAsia="宋体" w:cs="Times New Roman"/>
                <w:kern w:val="0"/>
                <w:sz w:val="24"/>
              </w:rPr>
            </w:pPr>
            <w:r>
              <w:rPr>
                <w:rFonts w:ascii="Times New Roman" w:hAnsi="Times New Roman" w:eastAsia="宋体" w:cs="Times New Roman"/>
                <w:kern w:val="0"/>
                <w:sz w:val="24"/>
              </w:rPr>
              <w:t>①生活垃圾</w:t>
            </w:r>
          </w:p>
          <w:p>
            <w:pPr>
              <w:pStyle w:val="16"/>
              <w:adjustRightInd w:val="0"/>
              <w:snapToGrid w:val="0"/>
              <w:spacing w:line="360" w:lineRule="auto"/>
              <w:ind w:firstLine="480" w:firstLineChars="200"/>
              <w:rPr>
                <w:rFonts w:ascii="Times New Roman" w:hAnsi="Times New Roman" w:eastAsia="宋体" w:cs="Times New Roman"/>
                <w:kern w:val="0"/>
                <w:sz w:val="24"/>
              </w:rPr>
            </w:pPr>
            <w:r>
              <w:rPr>
                <w:rFonts w:ascii="Times New Roman" w:hAnsi="Times New Roman" w:eastAsia="宋体" w:cs="Times New Roman"/>
                <w:kern w:val="0"/>
                <w:sz w:val="24"/>
              </w:rPr>
              <w:t>本项目共有</w:t>
            </w:r>
            <w:r>
              <w:rPr>
                <w:rFonts w:hint="eastAsia" w:ascii="Times New Roman" w:hAnsi="Times New Roman" w:eastAsia="宋体" w:cs="Times New Roman"/>
                <w:kern w:val="0"/>
                <w:sz w:val="24"/>
              </w:rPr>
              <w:t>10</w:t>
            </w:r>
            <w:r>
              <w:rPr>
                <w:rFonts w:ascii="Times New Roman" w:hAnsi="Times New Roman" w:eastAsia="宋体" w:cs="Times New Roman"/>
                <w:kern w:val="0"/>
                <w:sz w:val="24"/>
              </w:rPr>
              <w:t>名员工，生活垃圾排放系数取1.0kg/人·d，年工作300天，则垃圾产生量为3kg/d，</w:t>
            </w:r>
            <w:r>
              <w:rPr>
                <w:rFonts w:hint="eastAsia" w:ascii="Times New Roman" w:hAnsi="Times New Roman" w:eastAsia="宋体" w:cs="Times New Roman"/>
                <w:kern w:val="0"/>
                <w:sz w:val="24"/>
              </w:rPr>
              <w:t>3</w:t>
            </w:r>
            <w:r>
              <w:rPr>
                <w:rFonts w:ascii="Times New Roman" w:hAnsi="Times New Roman" w:eastAsia="宋体" w:cs="Times New Roman"/>
                <w:kern w:val="0"/>
                <w:sz w:val="24"/>
              </w:rPr>
              <w:t>t/a。生活垃圾经垃圾桶收集后由环卫部门统一清运处置。</w:t>
            </w:r>
          </w:p>
          <w:p>
            <w:pPr>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②</w:t>
            </w:r>
            <w:r>
              <w:rPr>
                <w:rFonts w:hint="eastAsia" w:ascii="Times New Roman" w:hAnsi="Times New Roman" w:eastAsia="宋体" w:cs="Times New Roman"/>
                <w:sz w:val="24"/>
              </w:rPr>
              <w:t>沉淀池污泥</w:t>
            </w:r>
          </w:p>
          <w:p>
            <w:pPr>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lang w:val="zh-CN"/>
              </w:rPr>
              <w:t>根据业主提供资料及行业经验，</w:t>
            </w:r>
            <w:r>
              <w:rPr>
                <w:rFonts w:hint="eastAsia" w:ascii="Times New Roman" w:hAnsi="Times New Roman" w:eastAsia="宋体" w:cs="Times New Roman"/>
                <w:sz w:val="24"/>
              </w:rPr>
              <w:t>原料中含泥量约为10%，经水洗后，产品含泥量约为2%，其中8%污泥随污水进入沉淀池沉淀，本项目水洗沙150万t/a，</w:t>
            </w:r>
            <w:r>
              <w:rPr>
                <w:rFonts w:hint="eastAsia" w:ascii="Times New Roman" w:hAnsi="Times New Roman" w:eastAsia="宋体" w:cs="Times New Roman"/>
                <w:kern w:val="0"/>
                <w:sz w:val="24"/>
                <w:lang w:bidi="ar"/>
              </w:rPr>
              <w:t>则污泥产生量约为12万</w:t>
            </w:r>
            <w:r>
              <w:rPr>
                <w:rFonts w:hint="eastAsia" w:ascii="Times New Roman" w:hAnsi="Times New Roman" w:eastAsia="宋体" w:cs="Times New Roman"/>
                <w:sz w:val="24"/>
              </w:rPr>
              <w:t>t</w:t>
            </w:r>
            <w:r>
              <w:rPr>
                <w:rFonts w:hint="eastAsia" w:ascii="Times New Roman" w:hAnsi="Times New Roman" w:eastAsia="宋体" w:cs="Times New Roman"/>
                <w:kern w:val="0"/>
                <w:sz w:val="24"/>
                <w:lang w:bidi="ar"/>
              </w:rPr>
              <w:t>/a。污泥经压滤机压缩后的淤泥含水率约40%。污泥清掏压滤后至污泥堆场暂存，</w:t>
            </w:r>
            <w:r>
              <w:rPr>
                <w:rFonts w:ascii="Times New Roman" w:hAnsi="Times New Roman" w:eastAsia="宋体" w:cs="Times New Roman"/>
                <w:spacing w:val="9"/>
                <w:sz w:val="24"/>
              </w:rPr>
              <w:t>后外售给环保砖厂作为原料生产环保砖</w:t>
            </w:r>
            <w:r>
              <w:rPr>
                <w:rFonts w:ascii="Times New Roman" w:hAnsi="Times New Roman" w:eastAsia="宋体" w:cs="Times New Roman"/>
                <w:sz w:val="24"/>
                <w:lang w:val="zh-CN"/>
              </w:rPr>
              <w:t>。</w:t>
            </w:r>
          </w:p>
          <w:p>
            <w:pPr>
              <w:adjustRightInd w:val="0"/>
              <w:snapToGrid w:val="0"/>
              <w:spacing w:line="360" w:lineRule="auto"/>
              <w:ind w:firstLine="482" w:firstLineChars="200"/>
              <w:rPr>
                <w:rFonts w:ascii="Times New Roman" w:hAnsi="Times New Roman" w:eastAsia="宋体" w:cs="Times New Roman"/>
                <w:b/>
                <w:bCs/>
                <w:sz w:val="24"/>
              </w:rPr>
            </w:pPr>
            <w:r>
              <w:rPr>
                <w:rFonts w:ascii="Times New Roman" w:hAnsi="Times New Roman" w:eastAsia="宋体" w:cs="Times New Roman"/>
                <w:b/>
                <w:bCs/>
                <w:sz w:val="24"/>
              </w:rPr>
              <w:t>（2）危险废物</w:t>
            </w:r>
          </w:p>
          <w:p>
            <w:pPr>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本项目生产过程中会使用润滑油等对设备进行维护，因此会产生少量的废润滑油，属于《国家危险废物名录》（2021年版）中的危险废物（HW08 900-221-08），产生量为0.3t/a，经单独收集后存储在专用容器内暂存在厂区废暂存间内，委托有资质单位清运处置。</w:t>
            </w:r>
          </w:p>
          <w:p>
            <w:pPr>
              <w:widowControl/>
              <w:adjustRightInd w:val="0"/>
              <w:snapToGrid w:val="0"/>
              <w:spacing w:line="360" w:lineRule="auto"/>
              <w:ind w:firstLine="482" w:firstLineChars="200"/>
              <w:rPr>
                <w:rFonts w:ascii="Times New Roman" w:hAnsi="Times New Roman" w:eastAsia="宋体" w:cs="Times New Roman"/>
                <w:b/>
                <w:bCs/>
                <w:sz w:val="24"/>
              </w:rPr>
            </w:pPr>
            <w:r>
              <w:rPr>
                <w:rFonts w:ascii="Times New Roman" w:hAnsi="Times New Roman" w:eastAsia="宋体" w:cs="Times New Roman"/>
                <w:b/>
                <w:bCs/>
                <w:kern w:val="0"/>
                <w:sz w:val="24"/>
                <w:lang w:bidi="ar"/>
              </w:rPr>
              <w:t>危废暂存间设置要求：</w:t>
            </w:r>
          </w:p>
          <w:p>
            <w:pPr>
              <w:widowControl/>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kern w:val="0"/>
                <w:sz w:val="24"/>
                <w:lang w:bidi="ar"/>
              </w:rPr>
              <w:t>1）危险废物暂存间必须与人群活动区隔开，方便危险废物转运，防止外来人员接触。</w:t>
            </w:r>
          </w:p>
          <w:p>
            <w:pPr>
              <w:widowControl/>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kern w:val="0"/>
                <w:sz w:val="24"/>
                <w:lang w:bidi="ar"/>
              </w:rPr>
              <w:t>2）危险废物贮存间必须密闭建设，门口内侧设立围堰，废润滑油暂存区周边设置围堰，地面应做好硬化及“三防”措施（防扬散、防流失、防渗漏），裙角须进行防渗处理，危废暂存间要防风、防雨、防晒。</w:t>
            </w:r>
          </w:p>
          <w:p>
            <w:pPr>
              <w:widowControl/>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kern w:val="0"/>
                <w:sz w:val="24"/>
                <w:lang w:bidi="ar"/>
              </w:rPr>
              <w:t>3）危险废物贮存间需按照“双人双锁”制度管理（两把钥匙分别由两个危废负责人管理，不得一人管理）。</w:t>
            </w:r>
          </w:p>
          <w:p>
            <w:pPr>
              <w:widowControl/>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kern w:val="0"/>
                <w:sz w:val="24"/>
                <w:lang w:bidi="ar"/>
              </w:rPr>
              <w:t>4）按《危险废物贮存污染控制标准》的要求进行建设；防渗层的防渗性能应等效于厚度Mb≥6m，渗透系数≤1.0×10</w:t>
            </w:r>
            <w:r>
              <w:rPr>
                <w:rFonts w:hint="eastAsia" w:ascii="Times New Roman" w:hAnsi="Times New Roman" w:eastAsia="宋体" w:cs="Times New Roman"/>
                <w:kern w:val="0"/>
                <w:sz w:val="24"/>
                <w:lang w:bidi="ar"/>
              </w:rPr>
              <w:t>-</w:t>
            </w:r>
            <w:r>
              <w:rPr>
                <w:rFonts w:ascii="Times New Roman" w:hAnsi="Times New Roman" w:eastAsia="宋体" w:cs="Times New Roman"/>
                <w:kern w:val="0"/>
                <w:sz w:val="24"/>
                <w:vertAlign w:val="superscript"/>
                <w:lang w:bidi="ar"/>
              </w:rPr>
              <w:t>10</w:t>
            </w:r>
            <w:r>
              <w:rPr>
                <w:rFonts w:ascii="Times New Roman" w:hAnsi="Times New Roman" w:eastAsia="宋体" w:cs="Times New Roman"/>
                <w:kern w:val="0"/>
                <w:sz w:val="24"/>
                <w:lang w:bidi="ar"/>
              </w:rPr>
              <w:t>cm/s的黏土层的防渗性能。</w:t>
            </w:r>
          </w:p>
          <w:p>
            <w:pPr>
              <w:widowControl/>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kern w:val="0"/>
                <w:sz w:val="24"/>
                <w:lang w:bidi="ar"/>
              </w:rPr>
              <w:t>5）危险废物贮存间门口需张贴标准规范的危险废物标识和危废信息板，屋内张贴企业《危险废物管理制度》。</w:t>
            </w:r>
          </w:p>
          <w:p>
            <w:pPr>
              <w:widowControl/>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kern w:val="0"/>
                <w:sz w:val="24"/>
                <w:lang w:bidi="ar"/>
              </w:rPr>
              <w:t>6）危险废物贮存间的墙上张贴危废名称，液态危废需将盛装容器放至防泄漏托盘内并在容器粘贴危险废物标签，并按要求填写。</w:t>
            </w:r>
          </w:p>
          <w:tbl>
            <w:tblPr>
              <w:tblStyle w:val="30"/>
              <w:tblW w:w="72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49"/>
              <w:gridCol w:w="3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1" w:hRule="atLeast"/>
              </w:trPr>
              <w:tc>
                <w:tcPr>
                  <w:tcW w:w="3649" w:type="dxa"/>
                </w:tcPr>
                <w:p>
                  <w:pPr>
                    <w:adjustRightInd w:val="0"/>
                    <w:snapToGrid w:val="0"/>
                    <w:spacing w:line="360" w:lineRule="auto"/>
                    <w:jc w:val="center"/>
                    <w:rPr>
                      <w:rFonts w:ascii="Times New Roman" w:hAnsi="Times New Roman" w:eastAsia="宋体"/>
                      <w:sz w:val="24"/>
                    </w:rPr>
                  </w:pPr>
                  <w:r>
                    <w:drawing>
                      <wp:inline distT="0" distB="0" distL="114300" distR="114300">
                        <wp:extent cx="2357755" cy="2249170"/>
                        <wp:effectExtent l="0" t="0" r="4445" b="17780"/>
                        <wp:docPr id="3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
                                <pic:cNvPicPr>
                                  <a:picLocks noChangeAspect="1"/>
                                </pic:cNvPicPr>
                              </pic:nvPicPr>
                              <pic:blipFill>
                                <a:blip r:embed="rId20"/>
                                <a:stretch>
                                  <a:fillRect/>
                                </a:stretch>
                              </pic:blipFill>
                              <pic:spPr>
                                <a:xfrm>
                                  <a:off x="0" y="0"/>
                                  <a:ext cx="2357755" cy="2249170"/>
                                </a:xfrm>
                                <a:prstGeom prst="rect">
                                  <a:avLst/>
                                </a:prstGeom>
                                <a:noFill/>
                                <a:ln>
                                  <a:noFill/>
                                </a:ln>
                              </pic:spPr>
                            </pic:pic>
                          </a:graphicData>
                        </a:graphic>
                      </wp:inline>
                    </w:drawing>
                  </w:r>
                </w:p>
              </w:tc>
              <w:tc>
                <w:tcPr>
                  <w:tcW w:w="3650" w:type="dxa"/>
                </w:tcPr>
                <w:p>
                  <w:pPr>
                    <w:adjustRightInd w:val="0"/>
                    <w:snapToGrid w:val="0"/>
                    <w:spacing w:line="360" w:lineRule="auto"/>
                    <w:jc w:val="center"/>
                    <w:rPr>
                      <w:rFonts w:ascii="Times New Roman" w:hAnsi="Times New Roman" w:eastAsia="宋体"/>
                      <w:sz w:val="24"/>
                    </w:rPr>
                  </w:pPr>
                  <w:r>
                    <w:drawing>
                      <wp:inline distT="0" distB="0" distL="114300" distR="114300">
                        <wp:extent cx="2357755" cy="2197100"/>
                        <wp:effectExtent l="0" t="0" r="4445" b="12700"/>
                        <wp:docPr id="3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4"/>
                                <pic:cNvPicPr>
                                  <a:picLocks noChangeAspect="1"/>
                                </pic:cNvPicPr>
                              </pic:nvPicPr>
                              <pic:blipFill>
                                <a:blip r:embed="rId21"/>
                                <a:stretch>
                                  <a:fillRect/>
                                </a:stretch>
                              </pic:blipFill>
                              <pic:spPr>
                                <a:xfrm>
                                  <a:off x="0" y="0"/>
                                  <a:ext cx="2357755" cy="219710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3649" w:type="dxa"/>
                </w:tcPr>
                <w:p>
                  <w:pPr>
                    <w:adjustRightInd w:val="0"/>
                    <w:snapToGrid w:val="0"/>
                    <w:jc w:val="center"/>
                    <w:rPr>
                      <w:rFonts w:ascii="Times New Roman" w:hAnsi="Times New Roman" w:eastAsia="宋体"/>
                      <w:sz w:val="24"/>
                    </w:rPr>
                  </w:pPr>
                  <w:r>
                    <w:rPr>
                      <w:rFonts w:hint="eastAsia" w:ascii="Times New Roman" w:hAnsi="Times New Roman" w:eastAsia="宋体"/>
                      <w:sz w:val="24"/>
                    </w:rPr>
                    <w:t>危险废物标签样式</w:t>
                  </w:r>
                </w:p>
              </w:tc>
              <w:tc>
                <w:tcPr>
                  <w:tcW w:w="3650" w:type="dxa"/>
                </w:tcPr>
                <w:p>
                  <w:pPr>
                    <w:adjustRightInd w:val="0"/>
                    <w:snapToGrid w:val="0"/>
                    <w:jc w:val="center"/>
                    <w:rPr>
                      <w:rFonts w:ascii="Times New Roman" w:hAnsi="Times New Roman" w:eastAsia="宋体"/>
                      <w:sz w:val="24"/>
                    </w:rPr>
                  </w:pPr>
                  <w:r>
                    <w:rPr>
                      <w:rFonts w:hint="eastAsia" w:ascii="Times New Roman" w:hAnsi="Times New Roman" w:eastAsia="宋体"/>
                      <w:sz w:val="24"/>
                    </w:rPr>
                    <w:t>贮存设施标志</w:t>
                  </w:r>
                </w:p>
              </w:tc>
            </w:tr>
          </w:tbl>
          <w:p>
            <w:pPr>
              <w:pStyle w:val="67"/>
              <w:tabs>
                <w:tab w:val="left" w:pos="455"/>
                <w:tab w:val="left" w:pos="564"/>
              </w:tabs>
              <w:adjustRightInd w:val="0"/>
              <w:snapToGrid w:val="0"/>
              <w:spacing w:before="0" w:after="0" w:line="360" w:lineRule="auto"/>
              <w:rPr>
                <w:rFonts w:ascii="Times New Roman" w:hAnsi="Times New Roman" w:cs="Times New Roman"/>
                <w:b/>
                <w:bCs/>
                <w:sz w:val="24"/>
                <w:lang w:val="en-US" w:eastAsia="zh-CN"/>
              </w:rPr>
            </w:pPr>
          </w:p>
          <w:p>
            <w:pPr>
              <w:widowControl/>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kern w:val="0"/>
                <w:sz w:val="24"/>
                <w:lang w:bidi="ar"/>
              </w:rPr>
              <w:t>7）建立台账并悬挂于危废间内，转入及转出（处置、自利用）需要填写危废种类、数量、时间及负责人员姓名。</w:t>
            </w:r>
          </w:p>
          <w:p>
            <w:pPr>
              <w:widowControl/>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kern w:val="0"/>
                <w:sz w:val="24"/>
                <w:lang w:bidi="ar"/>
              </w:rPr>
              <w:t>8）危险废物贮存间内禁止存放除危险废物及应急工具以他的其他物品。</w:t>
            </w:r>
          </w:p>
          <w:p>
            <w:pPr>
              <w:widowControl/>
              <w:adjustRightInd w:val="0"/>
              <w:snapToGrid w:val="0"/>
              <w:spacing w:line="360" w:lineRule="auto"/>
              <w:ind w:firstLine="482" w:firstLineChars="200"/>
              <w:rPr>
                <w:rFonts w:ascii="Times New Roman" w:hAnsi="Times New Roman" w:eastAsia="宋体" w:cs="Times New Roman"/>
                <w:b/>
                <w:bCs/>
                <w:sz w:val="24"/>
              </w:rPr>
            </w:pPr>
            <w:r>
              <w:rPr>
                <w:rFonts w:ascii="Times New Roman" w:hAnsi="Times New Roman" w:eastAsia="宋体" w:cs="Times New Roman"/>
                <w:b/>
                <w:bCs/>
                <w:kern w:val="0"/>
                <w:sz w:val="24"/>
                <w:lang w:bidi="ar"/>
              </w:rPr>
              <w:t>危废暂存管理要求：</w:t>
            </w:r>
          </w:p>
          <w:p>
            <w:pPr>
              <w:widowControl/>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kern w:val="0"/>
                <w:sz w:val="24"/>
                <w:lang w:bidi="ar"/>
              </w:rPr>
              <w:t>①危废暂存间必须安排专人管理，其他人未经允许不得入内，还应配备相应的安全措施。</w:t>
            </w:r>
          </w:p>
          <w:p>
            <w:pPr>
              <w:widowControl/>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kern w:val="0"/>
                <w:sz w:val="24"/>
                <w:lang w:bidi="ar"/>
              </w:rPr>
              <w:t>②危险废物必须与一般工业固废和生活垃圾分开收集暂存，危废暂存间不得存放除危险废物以外的其他废物。</w:t>
            </w:r>
          </w:p>
          <w:p>
            <w:pPr>
              <w:widowControl/>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kern w:val="0"/>
                <w:sz w:val="24"/>
                <w:lang w:bidi="ar"/>
              </w:rPr>
              <w:t>③当危险废物存放到暂存量时，管理人员应急处理。</w:t>
            </w:r>
          </w:p>
          <w:p>
            <w:pPr>
              <w:widowControl/>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kern w:val="0"/>
                <w:sz w:val="24"/>
                <w:lang w:bidi="ar"/>
              </w:rPr>
              <w:t>④危险废物送入危废暂存间时应密封装备，防止渗漏，并分别贴好标识，注明危险废物名称。</w:t>
            </w:r>
          </w:p>
          <w:p>
            <w:pPr>
              <w:widowControl/>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kern w:val="0"/>
                <w:sz w:val="24"/>
                <w:lang w:bidi="ar"/>
              </w:rPr>
              <w:t>⑤建立台账，做好台账记录，做好转移联单记录，对暂存的废物种类、数量、特性、包装容器类别、存放库位、存入及运出日期等详细记录在案并长期保存。</w:t>
            </w:r>
          </w:p>
          <w:p>
            <w:pPr>
              <w:widowControl/>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kern w:val="0"/>
                <w:sz w:val="24"/>
                <w:lang w:bidi="ar"/>
              </w:rPr>
              <w:t>⑥不同类别的危险废物应分别存放，并在存放区分别标明危险废物名称，不得混放。</w:t>
            </w:r>
          </w:p>
          <w:p>
            <w:pPr>
              <w:adjustRightInd w:val="0"/>
              <w:snapToGrid w:val="0"/>
              <w:spacing w:line="360" w:lineRule="auto"/>
              <w:ind w:firstLine="480" w:firstLineChars="200"/>
              <w:rPr>
                <w:rFonts w:ascii="Times New Roman" w:hAnsi="Times New Roman" w:eastAsia="宋体" w:cs="Times New Roman"/>
                <w:kern w:val="0"/>
                <w:sz w:val="24"/>
              </w:rPr>
            </w:pPr>
            <w:r>
              <w:rPr>
                <w:rFonts w:ascii="Times New Roman" w:hAnsi="Times New Roman" w:eastAsia="宋体" w:cs="Times New Roman"/>
                <w:kern w:val="0"/>
                <w:sz w:val="24"/>
                <w:lang w:bidi="ar"/>
              </w:rPr>
              <w:t>⑦必须定期对所贮存的危险废物包装容器及贮存设施进行检查、发现破损，应及时采取措施清理、更换。</w:t>
            </w:r>
          </w:p>
          <w:p>
            <w:pPr>
              <w:adjustRightInd w:val="0"/>
              <w:snapToGrid w:val="0"/>
              <w:spacing w:line="360" w:lineRule="auto"/>
              <w:ind w:firstLine="480" w:firstLineChars="200"/>
              <w:rPr>
                <w:rFonts w:ascii="Times New Roman" w:hAnsi="Times New Roman" w:eastAsia="宋体" w:cs="Times New Roman"/>
                <w:kern w:val="0"/>
                <w:sz w:val="24"/>
              </w:rPr>
            </w:pPr>
            <w:r>
              <w:rPr>
                <w:rFonts w:ascii="Times New Roman" w:hAnsi="Times New Roman" w:eastAsia="宋体" w:cs="Times New Roman"/>
                <w:kern w:val="0"/>
                <w:sz w:val="24"/>
              </w:rPr>
              <w:t>项目固废产生量及处理方式见表4-1</w:t>
            </w:r>
            <w:r>
              <w:rPr>
                <w:rFonts w:hint="eastAsia" w:ascii="Times New Roman" w:hAnsi="Times New Roman" w:eastAsia="宋体" w:cs="Times New Roman"/>
                <w:kern w:val="0"/>
                <w:sz w:val="24"/>
              </w:rPr>
              <w:t>5</w:t>
            </w:r>
            <w:r>
              <w:rPr>
                <w:rFonts w:ascii="Times New Roman" w:hAnsi="Times New Roman" w:eastAsia="宋体" w:cs="Times New Roman"/>
                <w:kern w:val="0"/>
                <w:sz w:val="24"/>
              </w:rPr>
              <w:t>。</w:t>
            </w:r>
          </w:p>
          <w:p>
            <w:pPr>
              <w:adjustRightInd w:val="0"/>
              <w:snapToGrid w:val="0"/>
              <w:jc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表4-1</w:t>
            </w:r>
            <w:r>
              <w:rPr>
                <w:rFonts w:hint="eastAsia" w:ascii="Times New Roman" w:hAnsi="Times New Roman" w:eastAsia="宋体" w:cs="Times New Roman"/>
                <w:b/>
                <w:bCs/>
                <w:kern w:val="0"/>
                <w:szCs w:val="21"/>
              </w:rPr>
              <w:t>5</w:t>
            </w:r>
            <w:r>
              <w:rPr>
                <w:rFonts w:ascii="Times New Roman" w:hAnsi="Times New Roman" w:eastAsia="宋体" w:cs="Times New Roman"/>
                <w:b/>
                <w:bCs/>
                <w:kern w:val="0"/>
                <w:szCs w:val="21"/>
              </w:rPr>
              <w:t xml:space="preserve"> 固体废物产生量及处理方式</w:t>
            </w:r>
          </w:p>
          <w:tbl>
            <w:tblPr>
              <w:tblStyle w:val="29"/>
              <w:tblW w:w="503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1352"/>
              <w:gridCol w:w="1017"/>
              <w:gridCol w:w="1099"/>
              <w:gridCol w:w="3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6" w:type="pct"/>
                  <w:tcBorders>
                    <w:tl2br w:val="nil"/>
                    <w:tr2bl w:val="nil"/>
                  </w:tcBorders>
                  <w:vAlign w:val="center"/>
                </w:tcPr>
                <w:p>
                  <w:pPr>
                    <w:pStyle w:val="56"/>
                    <w:snapToGrid w:val="0"/>
                    <w:spacing w:before="0" w:after="0"/>
                    <w:rPr>
                      <w:rFonts w:ascii="Times New Roman" w:hAnsi="Times New Roman" w:eastAsia="宋体" w:cs="Times New Roman"/>
                      <w:b/>
                      <w:bCs/>
                      <w:szCs w:val="21"/>
                    </w:rPr>
                  </w:pPr>
                  <w:r>
                    <w:rPr>
                      <w:rFonts w:ascii="Times New Roman" w:hAnsi="Times New Roman" w:eastAsia="宋体" w:cs="Times New Roman"/>
                      <w:b/>
                      <w:bCs/>
                      <w:szCs w:val="21"/>
                    </w:rPr>
                    <w:t>序号</w:t>
                  </w:r>
                </w:p>
              </w:tc>
              <w:tc>
                <w:tcPr>
                  <w:tcW w:w="892" w:type="pct"/>
                  <w:tcBorders>
                    <w:tl2br w:val="nil"/>
                    <w:tr2bl w:val="nil"/>
                  </w:tcBorders>
                  <w:vAlign w:val="center"/>
                </w:tcPr>
                <w:p>
                  <w:pPr>
                    <w:pStyle w:val="56"/>
                    <w:snapToGrid w:val="0"/>
                    <w:spacing w:before="0" w:after="0"/>
                    <w:rPr>
                      <w:rFonts w:ascii="Times New Roman" w:hAnsi="Times New Roman" w:eastAsia="宋体" w:cs="Times New Roman"/>
                      <w:b/>
                      <w:bCs/>
                      <w:szCs w:val="21"/>
                    </w:rPr>
                  </w:pPr>
                  <w:r>
                    <w:rPr>
                      <w:rFonts w:ascii="Times New Roman" w:hAnsi="Times New Roman" w:eastAsia="宋体" w:cs="Times New Roman"/>
                      <w:b/>
                      <w:bCs/>
                      <w:szCs w:val="21"/>
                    </w:rPr>
                    <w:t>名称</w:t>
                  </w:r>
                </w:p>
              </w:tc>
              <w:tc>
                <w:tcPr>
                  <w:tcW w:w="671" w:type="pct"/>
                  <w:tcBorders>
                    <w:tl2br w:val="nil"/>
                    <w:tr2bl w:val="nil"/>
                  </w:tcBorders>
                  <w:vAlign w:val="center"/>
                </w:tcPr>
                <w:p>
                  <w:pPr>
                    <w:pStyle w:val="56"/>
                    <w:snapToGrid w:val="0"/>
                    <w:spacing w:before="0" w:after="0"/>
                    <w:rPr>
                      <w:rFonts w:ascii="Times New Roman" w:hAnsi="Times New Roman" w:eastAsia="宋体" w:cs="Times New Roman"/>
                      <w:b/>
                      <w:bCs/>
                      <w:szCs w:val="21"/>
                    </w:rPr>
                  </w:pPr>
                  <w:r>
                    <w:rPr>
                      <w:rFonts w:ascii="Times New Roman" w:hAnsi="Times New Roman" w:eastAsia="宋体" w:cs="Times New Roman"/>
                      <w:b/>
                      <w:bCs/>
                      <w:szCs w:val="21"/>
                    </w:rPr>
                    <w:t>产生量（t/a）</w:t>
                  </w:r>
                </w:p>
              </w:tc>
              <w:tc>
                <w:tcPr>
                  <w:tcW w:w="725" w:type="pct"/>
                  <w:tcBorders>
                    <w:tl2br w:val="nil"/>
                    <w:tr2bl w:val="nil"/>
                  </w:tcBorders>
                  <w:vAlign w:val="center"/>
                </w:tcPr>
                <w:p>
                  <w:pPr>
                    <w:pStyle w:val="56"/>
                    <w:snapToGrid w:val="0"/>
                    <w:spacing w:before="0" w:after="0"/>
                    <w:rPr>
                      <w:rFonts w:ascii="Times New Roman" w:hAnsi="Times New Roman" w:eastAsia="宋体" w:cs="Times New Roman"/>
                      <w:b/>
                      <w:bCs/>
                      <w:szCs w:val="21"/>
                    </w:rPr>
                  </w:pPr>
                  <w:r>
                    <w:rPr>
                      <w:rFonts w:ascii="Times New Roman" w:hAnsi="Times New Roman" w:eastAsia="宋体" w:cs="Times New Roman"/>
                      <w:b/>
                      <w:bCs/>
                      <w:szCs w:val="21"/>
                    </w:rPr>
                    <w:t>废物类别</w:t>
                  </w:r>
                </w:p>
              </w:tc>
              <w:tc>
                <w:tcPr>
                  <w:tcW w:w="2284" w:type="pct"/>
                  <w:tcBorders>
                    <w:tl2br w:val="nil"/>
                    <w:tr2bl w:val="nil"/>
                  </w:tcBorders>
                  <w:vAlign w:val="center"/>
                </w:tcPr>
                <w:p>
                  <w:pPr>
                    <w:pStyle w:val="56"/>
                    <w:snapToGrid w:val="0"/>
                    <w:spacing w:before="0" w:after="0"/>
                    <w:rPr>
                      <w:rFonts w:ascii="Times New Roman" w:hAnsi="Times New Roman" w:eastAsia="宋体" w:cs="Times New Roman"/>
                      <w:b/>
                      <w:bCs/>
                      <w:szCs w:val="21"/>
                    </w:rPr>
                  </w:pPr>
                  <w:r>
                    <w:rPr>
                      <w:rFonts w:ascii="Times New Roman" w:hAnsi="Times New Roman" w:eastAsia="宋体" w:cs="Times New Roman"/>
                      <w:b/>
                      <w:bCs/>
                      <w:szCs w:val="21"/>
                    </w:rPr>
                    <w:t>处理方法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6" w:type="pct"/>
                  <w:tcBorders>
                    <w:tl2br w:val="nil"/>
                    <w:tr2bl w:val="nil"/>
                  </w:tcBorders>
                  <w:vAlign w:val="center"/>
                </w:tcPr>
                <w:p>
                  <w:pPr>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1</w:t>
                  </w:r>
                </w:p>
              </w:tc>
              <w:tc>
                <w:tcPr>
                  <w:tcW w:w="892" w:type="pct"/>
                  <w:tcBorders>
                    <w:tl2br w:val="nil"/>
                    <w:tr2bl w:val="nil"/>
                  </w:tcBorders>
                  <w:vAlign w:val="center"/>
                </w:tcPr>
                <w:p>
                  <w:pPr>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生活垃圾</w:t>
                  </w:r>
                </w:p>
              </w:tc>
              <w:tc>
                <w:tcPr>
                  <w:tcW w:w="671" w:type="pct"/>
                  <w:tcBorders>
                    <w:tl2br w:val="nil"/>
                    <w:tr2bl w:val="nil"/>
                  </w:tcBorders>
                  <w:vAlign w:val="center"/>
                </w:tcPr>
                <w:p>
                  <w:pPr>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9</w:t>
                  </w:r>
                </w:p>
              </w:tc>
              <w:tc>
                <w:tcPr>
                  <w:tcW w:w="725" w:type="pct"/>
                  <w:vMerge w:val="restart"/>
                  <w:tcBorders>
                    <w:tl2br w:val="nil"/>
                    <w:tr2bl w:val="nil"/>
                  </w:tcBorders>
                  <w:vAlign w:val="center"/>
                </w:tcPr>
                <w:p>
                  <w:pPr>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一般固废</w:t>
                  </w:r>
                </w:p>
              </w:tc>
              <w:tc>
                <w:tcPr>
                  <w:tcW w:w="2284" w:type="pct"/>
                  <w:tcBorders>
                    <w:tl2br w:val="nil"/>
                    <w:tr2bl w:val="nil"/>
                  </w:tcBorders>
                  <w:vAlign w:val="center"/>
                </w:tcPr>
                <w:p>
                  <w:pPr>
                    <w:adjustRightInd w:val="0"/>
                    <w:snapToGrid w:val="0"/>
                    <w:rPr>
                      <w:rFonts w:ascii="Times New Roman" w:hAnsi="Times New Roman" w:eastAsia="宋体" w:cs="Times New Roman"/>
                      <w:kern w:val="0"/>
                      <w:szCs w:val="21"/>
                    </w:rPr>
                  </w:pPr>
                  <w:r>
                    <w:rPr>
                      <w:rFonts w:ascii="Times New Roman" w:hAnsi="Times New Roman" w:eastAsia="宋体" w:cs="Times New Roman"/>
                      <w:kern w:val="0"/>
                      <w:szCs w:val="21"/>
                    </w:rPr>
                    <w:t>办公生活区产生的生活垃圾经垃圾桶收集后，由环卫部门清运处置。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6" w:type="pct"/>
                  <w:tcBorders>
                    <w:tl2br w:val="nil"/>
                    <w:tr2bl w:val="nil"/>
                  </w:tcBorders>
                  <w:vAlign w:val="center"/>
                </w:tcPr>
                <w:p>
                  <w:pPr>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2</w:t>
                  </w:r>
                </w:p>
              </w:tc>
              <w:tc>
                <w:tcPr>
                  <w:tcW w:w="892" w:type="pct"/>
                  <w:tcBorders>
                    <w:tl2br w:val="nil"/>
                    <w:tr2bl w:val="nil"/>
                  </w:tcBorders>
                  <w:vAlign w:val="center"/>
                </w:tcPr>
                <w:p>
                  <w:pPr>
                    <w:adjustRightInd w:val="0"/>
                    <w:snapToGrid w:val="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沉淀池污泥</w:t>
                  </w:r>
                </w:p>
              </w:tc>
              <w:tc>
                <w:tcPr>
                  <w:tcW w:w="671" w:type="pct"/>
                  <w:tcBorders>
                    <w:tl2br w:val="nil"/>
                    <w:tr2bl w:val="nil"/>
                  </w:tcBorders>
                  <w:vAlign w:val="center"/>
                </w:tcPr>
                <w:p>
                  <w:pPr>
                    <w:adjustRightInd w:val="0"/>
                    <w:snapToGrid w:val="0"/>
                    <w:jc w:val="center"/>
                    <w:rPr>
                      <w:rFonts w:ascii="Times New Roman" w:hAnsi="Times New Roman" w:eastAsia="宋体" w:cs="Times New Roman"/>
                      <w:kern w:val="0"/>
                      <w:szCs w:val="21"/>
                    </w:rPr>
                  </w:pPr>
                  <w:r>
                    <w:rPr>
                      <w:rFonts w:hint="eastAsia" w:ascii="Times New Roman" w:hAnsi="Times New Roman" w:eastAsia="宋体" w:cs="Times New Roman"/>
                      <w:szCs w:val="21"/>
                    </w:rPr>
                    <w:t>12万</w:t>
                  </w:r>
                </w:p>
              </w:tc>
              <w:tc>
                <w:tcPr>
                  <w:tcW w:w="725" w:type="pct"/>
                  <w:vMerge w:val="continue"/>
                  <w:tcBorders>
                    <w:tl2br w:val="nil"/>
                    <w:tr2bl w:val="nil"/>
                  </w:tcBorders>
                  <w:vAlign w:val="center"/>
                </w:tcPr>
                <w:p>
                  <w:pPr>
                    <w:adjustRightInd w:val="0"/>
                    <w:snapToGrid w:val="0"/>
                    <w:jc w:val="center"/>
                    <w:rPr>
                      <w:rFonts w:ascii="Times New Roman" w:hAnsi="Times New Roman" w:eastAsia="宋体" w:cs="Times New Roman"/>
                      <w:kern w:val="0"/>
                      <w:szCs w:val="21"/>
                    </w:rPr>
                  </w:pPr>
                </w:p>
              </w:tc>
              <w:tc>
                <w:tcPr>
                  <w:tcW w:w="2284" w:type="pct"/>
                  <w:tcBorders>
                    <w:tl2br w:val="nil"/>
                    <w:tr2bl w:val="nil"/>
                  </w:tcBorders>
                  <w:vAlign w:val="center"/>
                </w:tcPr>
                <w:p>
                  <w:pPr>
                    <w:adjustRightInd w:val="0"/>
                    <w:snapToGrid w:val="0"/>
                    <w:rPr>
                      <w:rFonts w:ascii="Times New Roman" w:hAnsi="Times New Roman" w:eastAsia="宋体" w:cs="Times New Roman"/>
                      <w:kern w:val="0"/>
                      <w:szCs w:val="21"/>
                    </w:rPr>
                  </w:pPr>
                  <w:r>
                    <w:rPr>
                      <w:rFonts w:ascii="Times New Roman" w:hAnsi="Times New Roman" w:eastAsia="宋体" w:cs="Times New Roman"/>
                      <w:kern w:val="0"/>
                      <w:szCs w:val="21"/>
                    </w:rPr>
                    <w:t>污泥清掏至</w:t>
                  </w:r>
                  <w:r>
                    <w:rPr>
                      <w:rFonts w:hint="eastAsia" w:ascii="Times New Roman" w:hAnsi="Times New Roman" w:eastAsia="宋体" w:cs="Times New Roman"/>
                      <w:kern w:val="0"/>
                      <w:szCs w:val="21"/>
                    </w:rPr>
                    <w:t>污泥</w:t>
                  </w:r>
                  <w:r>
                    <w:rPr>
                      <w:rFonts w:ascii="Times New Roman" w:hAnsi="Times New Roman" w:eastAsia="宋体" w:cs="Times New Roman"/>
                      <w:kern w:val="0"/>
                      <w:szCs w:val="21"/>
                    </w:rPr>
                    <w:t>堆场暂存，后外售给环保砖厂作为原料生产环保砖。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6" w:type="pct"/>
                  <w:tcBorders>
                    <w:tl2br w:val="nil"/>
                    <w:tr2bl w:val="nil"/>
                  </w:tcBorders>
                  <w:vAlign w:val="center"/>
                </w:tcPr>
                <w:p>
                  <w:pPr>
                    <w:adjustRightInd w:val="0"/>
                    <w:snapToGrid w:val="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3</w:t>
                  </w:r>
                </w:p>
              </w:tc>
              <w:tc>
                <w:tcPr>
                  <w:tcW w:w="892" w:type="pct"/>
                  <w:tcBorders>
                    <w:tl2br w:val="nil"/>
                    <w:tr2bl w:val="nil"/>
                  </w:tcBorders>
                  <w:vAlign w:val="center"/>
                </w:tcPr>
                <w:p>
                  <w:pPr>
                    <w:adjustRightInd w:val="0"/>
                    <w:snapToGrid w:val="0"/>
                    <w:jc w:val="center"/>
                    <w:rPr>
                      <w:rFonts w:ascii="Times New Roman" w:hAnsi="Times New Roman" w:eastAsia="宋体" w:cs="Times New Roman"/>
                      <w:kern w:val="0"/>
                      <w:szCs w:val="21"/>
                    </w:rPr>
                  </w:pPr>
                  <w:r>
                    <w:rPr>
                      <w:rFonts w:ascii="Times New Roman" w:hAnsi="Times New Roman" w:eastAsia="宋体" w:cs="Times New Roman"/>
                      <w:szCs w:val="21"/>
                    </w:rPr>
                    <w:t>废润滑油</w:t>
                  </w:r>
                </w:p>
              </w:tc>
              <w:tc>
                <w:tcPr>
                  <w:tcW w:w="671" w:type="pct"/>
                  <w:tcBorders>
                    <w:tl2br w:val="nil"/>
                    <w:tr2bl w:val="nil"/>
                  </w:tcBorders>
                  <w:vAlign w:val="center"/>
                </w:tcPr>
                <w:p>
                  <w:pPr>
                    <w:adjustRightInd w:val="0"/>
                    <w:snapToGrid w:val="0"/>
                    <w:jc w:val="center"/>
                    <w:rPr>
                      <w:rFonts w:ascii="Times New Roman" w:hAnsi="Times New Roman" w:eastAsia="宋体" w:cs="Times New Roman"/>
                      <w:kern w:val="0"/>
                      <w:szCs w:val="21"/>
                    </w:rPr>
                  </w:pPr>
                  <w:r>
                    <w:rPr>
                      <w:rFonts w:ascii="Times New Roman" w:hAnsi="Times New Roman" w:eastAsia="宋体" w:cs="Times New Roman"/>
                      <w:szCs w:val="21"/>
                    </w:rPr>
                    <w:t>0.3</w:t>
                  </w:r>
                </w:p>
              </w:tc>
              <w:tc>
                <w:tcPr>
                  <w:tcW w:w="725" w:type="pct"/>
                  <w:tcBorders>
                    <w:tl2br w:val="nil"/>
                    <w:tr2bl w:val="nil"/>
                  </w:tcBorders>
                  <w:vAlign w:val="center"/>
                </w:tcPr>
                <w:p>
                  <w:pPr>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危险废物</w:t>
                  </w:r>
                </w:p>
              </w:tc>
              <w:tc>
                <w:tcPr>
                  <w:tcW w:w="2284" w:type="pct"/>
                  <w:tcBorders>
                    <w:tl2br w:val="nil"/>
                    <w:tr2bl w:val="nil"/>
                  </w:tcBorders>
                  <w:vAlign w:val="center"/>
                </w:tcPr>
                <w:p>
                  <w:pPr>
                    <w:adjustRightInd w:val="0"/>
                    <w:snapToGrid w:val="0"/>
                    <w:rPr>
                      <w:rFonts w:ascii="Times New Roman" w:hAnsi="Times New Roman" w:eastAsia="宋体" w:cs="Times New Roman"/>
                      <w:kern w:val="0"/>
                      <w:szCs w:val="21"/>
                    </w:rPr>
                  </w:pPr>
                  <w:r>
                    <w:rPr>
                      <w:rFonts w:ascii="Times New Roman" w:hAnsi="Times New Roman" w:eastAsia="宋体" w:cs="Times New Roman"/>
                      <w:szCs w:val="21"/>
                    </w:rPr>
                    <w:t>收集后暂存在危废暂存间内，委托有资质单位清运处置。</w:t>
                  </w:r>
                </w:p>
              </w:tc>
            </w:tr>
          </w:tbl>
          <w:p>
            <w:pPr>
              <w:pStyle w:val="43"/>
              <w:widowControl w:val="0"/>
              <w:snapToGrid/>
              <w:ind w:firstLine="482"/>
              <w:jc w:val="both"/>
              <w:rPr>
                <w:b/>
                <w:bCs/>
                <w:sz w:val="24"/>
                <w:szCs w:val="24"/>
                <w:lang w:bidi="ar"/>
              </w:rPr>
            </w:pPr>
          </w:p>
          <w:p>
            <w:pPr>
              <w:adjustRightInd w:val="0"/>
              <w:snapToGrid w:val="0"/>
              <w:spacing w:line="360" w:lineRule="auto"/>
              <w:ind w:firstLine="482" w:firstLineChars="200"/>
              <w:rPr>
                <w:rFonts w:ascii="Times New Roman" w:hAnsi="Times New Roman" w:eastAsia="宋体" w:cs="Times New Roman"/>
                <w:sz w:val="24"/>
              </w:rPr>
            </w:pPr>
            <w:r>
              <w:rPr>
                <w:rFonts w:ascii="Times New Roman" w:hAnsi="Times New Roman" w:eastAsia="宋体" w:cs="Times New Roman"/>
                <w:b/>
                <w:bCs/>
                <w:sz w:val="24"/>
              </w:rPr>
              <w:t>2、固体废物环境影响和保护措施分析</w:t>
            </w:r>
          </w:p>
          <w:p>
            <w:pPr>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固体废物处理情况汇总见表4-1</w:t>
            </w:r>
            <w:r>
              <w:rPr>
                <w:rFonts w:hint="eastAsia" w:ascii="Times New Roman" w:hAnsi="Times New Roman" w:eastAsia="宋体" w:cs="Times New Roman"/>
                <w:sz w:val="24"/>
              </w:rPr>
              <w:t>6</w:t>
            </w:r>
            <w:r>
              <w:rPr>
                <w:rFonts w:ascii="Times New Roman" w:hAnsi="Times New Roman" w:eastAsia="宋体" w:cs="Times New Roman"/>
                <w:sz w:val="24"/>
              </w:rPr>
              <w:t>。</w:t>
            </w:r>
          </w:p>
          <w:p>
            <w:pPr>
              <w:adjustRightInd w:val="0"/>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表4-1</w:t>
            </w:r>
            <w:r>
              <w:rPr>
                <w:rFonts w:hint="eastAsia" w:ascii="Times New Roman" w:hAnsi="Times New Roman" w:eastAsia="宋体" w:cs="Times New Roman"/>
                <w:b/>
                <w:bCs/>
                <w:szCs w:val="21"/>
              </w:rPr>
              <w:t>6</w:t>
            </w:r>
            <w:r>
              <w:rPr>
                <w:rFonts w:ascii="Times New Roman" w:hAnsi="Times New Roman" w:eastAsia="宋体" w:cs="Times New Roman"/>
                <w:b/>
                <w:bCs/>
                <w:szCs w:val="21"/>
              </w:rPr>
              <w:t xml:space="preserve"> 固体废物来源及治理措施表</w:t>
            </w:r>
          </w:p>
          <w:tbl>
            <w:tblPr>
              <w:tblStyle w:val="29"/>
              <w:tblW w:w="7538" w:type="dxa"/>
              <w:jc w:val="center"/>
              <w:tblLayout w:type="fixed"/>
              <w:tblCellMar>
                <w:top w:w="0" w:type="dxa"/>
                <w:left w:w="108" w:type="dxa"/>
                <w:bottom w:w="0" w:type="dxa"/>
                <w:right w:w="108" w:type="dxa"/>
              </w:tblCellMar>
            </w:tblPr>
            <w:tblGrid>
              <w:gridCol w:w="685"/>
              <w:gridCol w:w="1267"/>
              <w:gridCol w:w="1335"/>
              <w:gridCol w:w="4251"/>
            </w:tblGrid>
            <w:tr>
              <w:tblPrEx>
                <w:tblCellMar>
                  <w:top w:w="0" w:type="dxa"/>
                  <w:left w:w="108" w:type="dxa"/>
                  <w:bottom w:w="0" w:type="dxa"/>
                  <w:right w:w="108" w:type="dxa"/>
                </w:tblCellMar>
              </w:tblPrEx>
              <w:trPr>
                <w:trHeight w:val="291" w:hRule="atLeast"/>
                <w:jc w:val="center"/>
              </w:trPr>
              <w:tc>
                <w:tcPr>
                  <w:tcW w:w="6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top"/>
                    <w:rPr>
                      <w:rFonts w:ascii="Times New Roman" w:hAnsi="Times New Roman" w:eastAsia="宋体" w:cs="Times New Roman"/>
                      <w:b/>
                      <w:bCs/>
                      <w:szCs w:val="21"/>
                    </w:rPr>
                  </w:pPr>
                  <w:r>
                    <w:rPr>
                      <w:rFonts w:ascii="Times New Roman" w:hAnsi="Times New Roman" w:eastAsia="宋体" w:cs="Times New Roman"/>
                      <w:b/>
                      <w:bCs/>
                      <w:kern w:val="0"/>
                      <w:szCs w:val="21"/>
                      <w:lang w:bidi="ar"/>
                    </w:rPr>
                    <w:t>序号</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top"/>
                    <w:rPr>
                      <w:rFonts w:ascii="Times New Roman" w:hAnsi="Times New Roman" w:eastAsia="宋体" w:cs="Times New Roman"/>
                      <w:b/>
                      <w:bCs/>
                      <w:szCs w:val="21"/>
                    </w:rPr>
                  </w:pPr>
                  <w:r>
                    <w:rPr>
                      <w:rFonts w:ascii="Times New Roman" w:hAnsi="Times New Roman" w:eastAsia="宋体" w:cs="Times New Roman"/>
                      <w:b/>
                      <w:bCs/>
                      <w:kern w:val="0"/>
                      <w:szCs w:val="21"/>
                      <w:lang w:bidi="ar"/>
                    </w:rPr>
                    <w:t>污染源</w:t>
                  </w:r>
                </w:p>
              </w:tc>
              <w:tc>
                <w:tcPr>
                  <w:tcW w:w="133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top"/>
                    <w:rPr>
                      <w:rFonts w:ascii="Times New Roman" w:hAnsi="Times New Roman" w:eastAsia="宋体" w:cs="Times New Roman"/>
                      <w:b/>
                      <w:bCs/>
                      <w:szCs w:val="21"/>
                    </w:rPr>
                  </w:pPr>
                  <w:r>
                    <w:rPr>
                      <w:rFonts w:ascii="Times New Roman" w:hAnsi="Times New Roman" w:eastAsia="宋体" w:cs="Times New Roman"/>
                      <w:b/>
                      <w:bCs/>
                      <w:kern w:val="0"/>
                      <w:szCs w:val="21"/>
                      <w:lang w:bidi="ar"/>
                    </w:rPr>
                    <w:t>废物名称</w:t>
                  </w:r>
                </w:p>
              </w:tc>
              <w:tc>
                <w:tcPr>
                  <w:tcW w:w="425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top"/>
                    <w:rPr>
                      <w:rFonts w:ascii="Times New Roman" w:hAnsi="Times New Roman" w:eastAsia="宋体" w:cs="Times New Roman"/>
                      <w:b/>
                      <w:bCs/>
                      <w:szCs w:val="21"/>
                    </w:rPr>
                  </w:pPr>
                  <w:r>
                    <w:rPr>
                      <w:rFonts w:ascii="Times New Roman" w:hAnsi="Times New Roman" w:eastAsia="宋体" w:cs="Times New Roman"/>
                      <w:b/>
                      <w:bCs/>
                      <w:kern w:val="0"/>
                      <w:szCs w:val="21"/>
                      <w:lang w:bidi="ar"/>
                    </w:rPr>
                    <w:t>处置方式</w:t>
                  </w:r>
                </w:p>
              </w:tc>
            </w:tr>
            <w:tr>
              <w:tblPrEx>
                <w:tblCellMar>
                  <w:top w:w="0" w:type="dxa"/>
                  <w:left w:w="108" w:type="dxa"/>
                  <w:bottom w:w="0" w:type="dxa"/>
                  <w:right w:w="108" w:type="dxa"/>
                </w:tblCellMar>
              </w:tblPrEx>
              <w:trPr>
                <w:trHeight w:val="563" w:hRule="atLeast"/>
                <w:jc w:val="center"/>
              </w:trPr>
              <w:tc>
                <w:tcPr>
                  <w:tcW w:w="685"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jc w:val="center"/>
                    <w:textAlignment w:val="top"/>
                    <w:rPr>
                      <w:rFonts w:ascii="Times New Roman" w:hAnsi="Times New Roman" w:eastAsia="宋体" w:cs="Times New Roman"/>
                      <w:szCs w:val="21"/>
                    </w:rPr>
                  </w:pPr>
                  <w:r>
                    <w:rPr>
                      <w:rFonts w:ascii="Times New Roman" w:hAnsi="Times New Roman" w:eastAsia="宋体" w:cs="Times New Roman"/>
                      <w:kern w:val="0"/>
                      <w:szCs w:val="21"/>
                      <w:lang w:bidi="ar"/>
                    </w:rPr>
                    <w:t>1</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top"/>
                    <w:rPr>
                      <w:rFonts w:ascii="Times New Roman" w:hAnsi="Times New Roman" w:eastAsia="宋体" w:cs="Times New Roman"/>
                      <w:szCs w:val="21"/>
                    </w:rPr>
                  </w:pPr>
                  <w:r>
                    <w:rPr>
                      <w:rFonts w:ascii="Times New Roman" w:hAnsi="Times New Roman" w:eastAsia="宋体" w:cs="Times New Roman"/>
                      <w:kern w:val="0"/>
                      <w:szCs w:val="21"/>
                      <w:lang w:bidi="ar"/>
                    </w:rPr>
                    <w:t>生活办公</w:t>
                  </w:r>
                </w:p>
              </w:tc>
              <w:tc>
                <w:tcPr>
                  <w:tcW w:w="133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kern w:val="0"/>
                      <w:szCs w:val="21"/>
                    </w:rPr>
                    <w:t>生活垃圾</w:t>
                  </w:r>
                </w:p>
              </w:tc>
              <w:tc>
                <w:tcPr>
                  <w:tcW w:w="425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Times New Roman" w:hAnsi="Times New Roman" w:eastAsia="宋体" w:cs="Times New Roman"/>
                      <w:szCs w:val="21"/>
                    </w:rPr>
                  </w:pPr>
                  <w:r>
                    <w:rPr>
                      <w:rFonts w:ascii="Times New Roman" w:hAnsi="Times New Roman" w:eastAsia="宋体" w:cs="Times New Roman"/>
                      <w:kern w:val="0"/>
                      <w:szCs w:val="21"/>
                    </w:rPr>
                    <w:t>办公生活区产生的生活垃圾经垃圾桶收集后，由环卫部门清运处置。</w:t>
                  </w:r>
                </w:p>
              </w:tc>
            </w:tr>
            <w:tr>
              <w:tblPrEx>
                <w:tblCellMar>
                  <w:top w:w="0" w:type="dxa"/>
                  <w:left w:w="108" w:type="dxa"/>
                  <w:bottom w:w="0" w:type="dxa"/>
                  <w:right w:w="108" w:type="dxa"/>
                </w:tblCellMar>
              </w:tblPrEx>
              <w:trPr>
                <w:trHeight w:val="563" w:hRule="atLeast"/>
                <w:jc w:val="center"/>
              </w:trPr>
              <w:tc>
                <w:tcPr>
                  <w:tcW w:w="685"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jc w:val="center"/>
                    <w:textAlignment w:val="top"/>
                    <w:rPr>
                      <w:rFonts w:ascii="Times New Roman" w:hAnsi="Times New Roman" w:eastAsia="宋体" w:cs="Times New Roman"/>
                      <w:szCs w:val="21"/>
                    </w:rPr>
                  </w:pPr>
                  <w:r>
                    <w:rPr>
                      <w:rFonts w:ascii="Times New Roman" w:hAnsi="Times New Roman" w:eastAsia="宋体" w:cs="Times New Roman"/>
                      <w:kern w:val="0"/>
                      <w:szCs w:val="21"/>
                      <w:lang w:bidi="ar"/>
                    </w:rPr>
                    <w:t>2</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top"/>
                    <w:rPr>
                      <w:rFonts w:ascii="Times New Roman" w:hAnsi="Times New Roman" w:eastAsia="宋体" w:cs="Times New Roman"/>
                      <w:szCs w:val="21"/>
                    </w:rPr>
                  </w:pPr>
                  <w:r>
                    <w:rPr>
                      <w:rFonts w:hint="eastAsia" w:ascii="Times New Roman" w:hAnsi="Times New Roman" w:eastAsia="宋体" w:cs="Times New Roman"/>
                      <w:szCs w:val="21"/>
                    </w:rPr>
                    <w:t>三级沉淀池</w:t>
                  </w:r>
                </w:p>
              </w:tc>
              <w:tc>
                <w:tcPr>
                  <w:tcW w:w="133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kern w:val="0"/>
                      <w:szCs w:val="21"/>
                    </w:rPr>
                    <w:t>沉淀池污泥</w:t>
                  </w:r>
                </w:p>
              </w:tc>
              <w:tc>
                <w:tcPr>
                  <w:tcW w:w="425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Times New Roman" w:hAnsi="Times New Roman" w:eastAsia="宋体" w:cs="Times New Roman"/>
                      <w:szCs w:val="21"/>
                    </w:rPr>
                  </w:pPr>
                  <w:r>
                    <w:rPr>
                      <w:rFonts w:ascii="Times New Roman" w:hAnsi="Times New Roman" w:eastAsia="宋体" w:cs="Times New Roman"/>
                      <w:kern w:val="0"/>
                      <w:szCs w:val="21"/>
                    </w:rPr>
                    <w:t>污泥清掏至</w:t>
                  </w:r>
                  <w:r>
                    <w:rPr>
                      <w:rFonts w:hint="eastAsia" w:ascii="Times New Roman" w:hAnsi="Times New Roman" w:eastAsia="宋体" w:cs="Times New Roman"/>
                      <w:kern w:val="0"/>
                      <w:szCs w:val="21"/>
                    </w:rPr>
                    <w:t>污泥</w:t>
                  </w:r>
                  <w:r>
                    <w:rPr>
                      <w:rFonts w:ascii="Times New Roman" w:hAnsi="Times New Roman" w:eastAsia="宋体" w:cs="Times New Roman"/>
                      <w:kern w:val="0"/>
                      <w:szCs w:val="21"/>
                    </w:rPr>
                    <w:t>堆场暂存，后外售给环保砖厂作为原料生产环保砖。</w:t>
                  </w:r>
                </w:p>
              </w:tc>
            </w:tr>
            <w:tr>
              <w:tblPrEx>
                <w:tblCellMar>
                  <w:top w:w="0" w:type="dxa"/>
                  <w:left w:w="108" w:type="dxa"/>
                  <w:bottom w:w="0" w:type="dxa"/>
                  <w:right w:w="108" w:type="dxa"/>
                </w:tblCellMar>
              </w:tblPrEx>
              <w:trPr>
                <w:trHeight w:val="291" w:hRule="atLeast"/>
                <w:jc w:val="center"/>
              </w:trPr>
              <w:tc>
                <w:tcPr>
                  <w:tcW w:w="685"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jc w:val="center"/>
                    <w:textAlignment w:val="top"/>
                    <w:rPr>
                      <w:rFonts w:ascii="Times New Roman" w:hAnsi="Times New Roman" w:eastAsia="宋体" w:cs="Times New Roman"/>
                      <w:szCs w:val="21"/>
                    </w:rPr>
                  </w:pPr>
                  <w:r>
                    <w:rPr>
                      <w:rFonts w:ascii="Times New Roman" w:hAnsi="Times New Roman" w:eastAsia="宋体" w:cs="Times New Roman"/>
                      <w:kern w:val="0"/>
                      <w:szCs w:val="21"/>
                      <w:lang w:bidi="ar"/>
                    </w:rPr>
                    <w:t>3</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生产车间</w:t>
                  </w:r>
                </w:p>
              </w:tc>
              <w:tc>
                <w:tcPr>
                  <w:tcW w:w="133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废润滑油</w:t>
                  </w:r>
                </w:p>
              </w:tc>
              <w:tc>
                <w:tcPr>
                  <w:tcW w:w="425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Times New Roman" w:hAnsi="Times New Roman" w:eastAsia="宋体" w:cs="Times New Roman"/>
                      <w:szCs w:val="21"/>
                    </w:rPr>
                  </w:pPr>
                  <w:r>
                    <w:rPr>
                      <w:rFonts w:ascii="Times New Roman" w:hAnsi="Times New Roman" w:eastAsia="宋体" w:cs="Times New Roman"/>
                      <w:szCs w:val="21"/>
                    </w:rPr>
                    <w:t>收集后暂存在危废暂存间内，委托有资质单位清运处置。</w:t>
                  </w:r>
                </w:p>
              </w:tc>
            </w:tr>
          </w:tbl>
          <w:p>
            <w:pPr>
              <w:widowControl/>
              <w:adjustRightInd w:val="0"/>
              <w:snapToGrid w:val="0"/>
              <w:spacing w:line="360" w:lineRule="auto"/>
              <w:ind w:firstLine="480" w:firstLineChars="200"/>
              <w:rPr>
                <w:rFonts w:ascii="Times New Roman" w:hAnsi="Times New Roman" w:eastAsia="宋体" w:cs="Times New Roman"/>
                <w:kern w:val="0"/>
                <w:sz w:val="24"/>
                <w:lang w:bidi="ar"/>
              </w:rPr>
            </w:pPr>
            <w:r>
              <w:rPr>
                <w:rFonts w:ascii="Times New Roman" w:hAnsi="Times New Roman" w:eastAsia="宋体" w:cs="Times New Roman"/>
                <w:sz w:val="24"/>
              </w:rPr>
              <w:t>通过采取以上固废处理措施后，固废处置率100%，本项目的各类固废得到有效的处理处置，对周围环境影响较小。</w:t>
            </w:r>
          </w:p>
          <w:p>
            <w:pPr>
              <w:pStyle w:val="43"/>
              <w:widowControl w:val="0"/>
              <w:ind w:firstLine="482"/>
              <w:jc w:val="both"/>
              <w:rPr>
                <w:b/>
                <w:bCs/>
                <w:sz w:val="24"/>
                <w:szCs w:val="24"/>
                <w:lang w:bidi="ar"/>
              </w:rPr>
            </w:pPr>
            <w:r>
              <w:rPr>
                <w:b/>
                <w:bCs/>
                <w:sz w:val="24"/>
                <w:szCs w:val="24"/>
                <w:lang w:bidi="ar"/>
              </w:rPr>
              <w:t>五、运营期环境风险分析和保护措施</w:t>
            </w:r>
          </w:p>
          <w:p>
            <w:pPr>
              <w:widowControl/>
              <w:adjustRightInd w:val="0"/>
              <w:snapToGrid w:val="0"/>
              <w:spacing w:line="360" w:lineRule="auto"/>
              <w:ind w:firstLine="482" w:firstLineChars="200"/>
              <w:rPr>
                <w:rFonts w:ascii="Times New Roman" w:hAnsi="Times New Roman" w:eastAsia="宋体" w:cs="Times New Roman"/>
                <w:sz w:val="24"/>
              </w:rPr>
            </w:pPr>
            <w:r>
              <w:rPr>
                <w:rFonts w:ascii="Times New Roman" w:hAnsi="Times New Roman" w:eastAsia="宋体" w:cs="Times New Roman"/>
                <w:b/>
                <w:kern w:val="0"/>
                <w:sz w:val="24"/>
                <w:lang w:bidi="ar"/>
              </w:rPr>
              <w:t>1、评价目的和重点</w:t>
            </w:r>
          </w:p>
          <w:p>
            <w:pPr>
              <w:widowControl/>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kern w:val="0"/>
                <w:sz w:val="24"/>
                <w:lang w:bidi="ar"/>
              </w:rPr>
              <w:t>环境风险评价的目的是分析和预测建设项目存在的潜在危险、有害因素，建设项目建设和运行期间可能发生的突发性事件或事故，引起有毒有害和易燃易爆等物质的泄漏，所造成的人身安全与环境影响和损害程度，提出合理可行的防范、应急与减缓措施，以使建设项目事故率、损失和环境影响达到可接受的水平。</w:t>
            </w:r>
          </w:p>
          <w:p>
            <w:pPr>
              <w:widowControl/>
              <w:adjustRightInd w:val="0"/>
              <w:snapToGrid w:val="0"/>
              <w:spacing w:line="360" w:lineRule="auto"/>
              <w:ind w:firstLine="482" w:firstLineChars="200"/>
              <w:rPr>
                <w:rFonts w:ascii="Times New Roman" w:hAnsi="Times New Roman" w:eastAsia="宋体" w:cs="Times New Roman"/>
                <w:sz w:val="24"/>
              </w:rPr>
            </w:pPr>
            <w:r>
              <w:rPr>
                <w:rFonts w:ascii="Times New Roman" w:hAnsi="Times New Roman" w:eastAsia="宋体" w:cs="Times New Roman"/>
                <w:b/>
                <w:kern w:val="0"/>
                <w:sz w:val="24"/>
                <w:lang w:bidi="ar"/>
              </w:rPr>
              <w:t>2、物质危险性识别</w:t>
            </w:r>
          </w:p>
          <w:p>
            <w:pPr>
              <w:adjustRightInd w:val="0"/>
              <w:snapToGrid w:val="0"/>
              <w:spacing w:line="360" w:lineRule="auto"/>
              <w:ind w:firstLine="480" w:firstLineChars="200"/>
              <w:rPr>
                <w:rFonts w:ascii="Times New Roman" w:hAnsi="Times New Roman" w:eastAsia="宋体" w:cs="Times New Roman"/>
                <w:kern w:val="0"/>
                <w:sz w:val="24"/>
                <w:lang w:bidi="ar"/>
              </w:rPr>
            </w:pPr>
            <w:r>
              <w:rPr>
                <w:rFonts w:ascii="Times New Roman" w:hAnsi="Times New Roman" w:eastAsia="宋体" w:cs="Times New Roman"/>
                <w:kern w:val="0"/>
                <w:sz w:val="24"/>
                <w:lang w:bidi="ar"/>
              </w:rPr>
              <w:t>项目生产过程中所涉及的危险物质为生产设备检修产生的废润滑油。</w:t>
            </w:r>
          </w:p>
          <w:p>
            <w:pPr>
              <w:adjustRightInd w:val="0"/>
              <w:snapToGrid w:val="0"/>
              <w:spacing w:line="360" w:lineRule="auto"/>
              <w:ind w:firstLine="482" w:firstLineChars="200"/>
              <w:rPr>
                <w:rFonts w:ascii="Times New Roman" w:hAnsi="Times New Roman" w:eastAsia="宋体" w:cs="Times New Roman"/>
                <w:b/>
                <w:sz w:val="24"/>
              </w:rPr>
            </w:pPr>
            <w:r>
              <w:rPr>
                <w:rFonts w:ascii="Times New Roman" w:hAnsi="Times New Roman" w:eastAsia="宋体" w:cs="Times New Roman"/>
                <w:b/>
                <w:sz w:val="24"/>
              </w:rPr>
              <w:t>3、风险潜势初判及评价等级</w:t>
            </w:r>
          </w:p>
          <w:p>
            <w:pPr>
              <w:pStyle w:val="41"/>
              <w:adjustRightInd w:val="0"/>
              <w:snapToGrid w:val="0"/>
              <w:ind w:firstLine="480" w:firstLineChars="200"/>
              <w:jc w:val="both"/>
              <w:rPr>
                <w:rFonts w:ascii="Times New Roman" w:hAnsi="Times New Roman" w:cs="Times New Roman"/>
                <w:sz w:val="24"/>
                <w:szCs w:val="24"/>
              </w:rPr>
            </w:pPr>
            <w:r>
              <w:rPr>
                <w:rFonts w:ascii="Times New Roman" w:hAnsi="Times New Roman" w:cs="Times New Roman"/>
                <w:sz w:val="24"/>
                <w:szCs w:val="24"/>
              </w:rPr>
              <w:t>根据《建设项目环境风险评价技术导则》（HJ169-2018），环境风险评价工作等级见表4-1</w:t>
            </w:r>
            <w:r>
              <w:rPr>
                <w:rFonts w:hint="eastAsia" w:ascii="Times New Roman" w:hAnsi="Times New Roman" w:cs="Times New Roman"/>
                <w:sz w:val="24"/>
                <w:szCs w:val="24"/>
              </w:rPr>
              <w:t>7</w:t>
            </w:r>
            <w:r>
              <w:rPr>
                <w:rFonts w:ascii="Times New Roman" w:hAnsi="Times New Roman" w:cs="Times New Roman"/>
                <w:sz w:val="24"/>
                <w:szCs w:val="24"/>
              </w:rPr>
              <w:t>。</w:t>
            </w:r>
          </w:p>
          <w:p>
            <w:pPr>
              <w:pStyle w:val="43"/>
              <w:widowControl/>
              <w:spacing w:line="240" w:lineRule="auto"/>
              <w:ind w:firstLine="0" w:firstLineChars="0"/>
              <w:jc w:val="center"/>
              <w:rPr>
                <w:b/>
                <w:bCs/>
                <w:sz w:val="21"/>
                <w:szCs w:val="21"/>
              </w:rPr>
            </w:pPr>
            <w:r>
              <w:rPr>
                <w:b/>
                <w:bCs/>
                <w:sz w:val="21"/>
                <w:szCs w:val="21"/>
              </w:rPr>
              <w:t>表4-1</w:t>
            </w:r>
            <w:r>
              <w:rPr>
                <w:rFonts w:hint="eastAsia"/>
                <w:b/>
                <w:bCs/>
                <w:sz w:val="21"/>
                <w:szCs w:val="21"/>
              </w:rPr>
              <w:t>7</w:t>
            </w:r>
            <w:r>
              <w:rPr>
                <w:b/>
                <w:bCs/>
                <w:sz w:val="21"/>
                <w:szCs w:val="21"/>
              </w:rPr>
              <w:t xml:space="preserve"> 评价工作等级划分</w:t>
            </w:r>
          </w:p>
          <w:tbl>
            <w:tblPr>
              <w:tblStyle w:val="30"/>
              <w:tblW w:w="7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4"/>
              <w:gridCol w:w="1524"/>
              <w:gridCol w:w="1524"/>
              <w:gridCol w:w="1524"/>
              <w:gridCol w:w="1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24" w:type="dxa"/>
                  <w:vAlign w:val="center"/>
                </w:tcPr>
                <w:p>
                  <w:pPr>
                    <w:pStyle w:val="36"/>
                    <w:snapToGrid w:val="0"/>
                    <w:jc w:val="center"/>
                    <w:rPr>
                      <w:rFonts w:ascii="Times New Roman" w:cs="Times New Roman"/>
                      <w:b/>
                      <w:bCs/>
                      <w:color w:val="auto"/>
                      <w:sz w:val="21"/>
                      <w:szCs w:val="21"/>
                    </w:rPr>
                  </w:pPr>
                  <w:r>
                    <w:rPr>
                      <w:rFonts w:ascii="Times New Roman" w:cs="Times New Roman"/>
                      <w:b/>
                      <w:bCs/>
                      <w:color w:val="auto"/>
                      <w:sz w:val="21"/>
                      <w:szCs w:val="21"/>
                    </w:rPr>
                    <w:t>环境风险潜势</w:t>
                  </w:r>
                </w:p>
              </w:tc>
              <w:tc>
                <w:tcPr>
                  <w:tcW w:w="1524" w:type="dxa"/>
                  <w:vAlign w:val="center"/>
                </w:tcPr>
                <w:p>
                  <w:pPr>
                    <w:pStyle w:val="36"/>
                    <w:snapToGrid w:val="0"/>
                    <w:jc w:val="center"/>
                    <w:rPr>
                      <w:rFonts w:ascii="Times New Roman" w:cs="Times New Roman"/>
                      <w:b/>
                      <w:bCs/>
                      <w:color w:val="auto"/>
                      <w:sz w:val="21"/>
                      <w:szCs w:val="21"/>
                    </w:rPr>
                  </w:pPr>
                  <w:r>
                    <w:rPr>
                      <w:rFonts w:ascii="Times New Roman" w:cs="Times New Roman"/>
                      <w:b/>
                      <w:bCs/>
                      <w:color w:val="auto"/>
                      <w:sz w:val="21"/>
                      <w:szCs w:val="21"/>
                    </w:rPr>
                    <w:t>Ⅳ、Ⅳ</w:t>
                  </w:r>
                  <w:r>
                    <w:rPr>
                      <w:rFonts w:ascii="Times New Roman" w:cs="Times New Roman"/>
                      <w:b/>
                      <w:bCs/>
                      <w:color w:val="auto"/>
                      <w:sz w:val="21"/>
                      <w:szCs w:val="21"/>
                      <w:vertAlign w:val="superscript"/>
                    </w:rPr>
                    <w:t>+</w:t>
                  </w:r>
                </w:p>
              </w:tc>
              <w:tc>
                <w:tcPr>
                  <w:tcW w:w="1524" w:type="dxa"/>
                  <w:vAlign w:val="center"/>
                </w:tcPr>
                <w:p>
                  <w:pPr>
                    <w:pStyle w:val="36"/>
                    <w:snapToGrid w:val="0"/>
                    <w:jc w:val="center"/>
                    <w:rPr>
                      <w:rFonts w:ascii="Times New Roman" w:cs="Times New Roman"/>
                      <w:b/>
                      <w:bCs/>
                      <w:color w:val="auto"/>
                      <w:sz w:val="21"/>
                      <w:szCs w:val="21"/>
                    </w:rPr>
                  </w:pPr>
                  <w:r>
                    <w:rPr>
                      <w:rFonts w:ascii="Times New Roman" w:cs="Times New Roman"/>
                      <w:b/>
                      <w:bCs/>
                      <w:color w:val="auto"/>
                      <w:sz w:val="21"/>
                      <w:szCs w:val="21"/>
                    </w:rPr>
                    <w:t>Ⅲ</w:t>
                  </w:r>
                </w:p>
              </w:tc>
              <w:tc>
                <w:tcPr>
                  <w:tcW w:w="1524" w:type="dxa"/>
                  <w:vAlign w:val="center"/>
                </w:tcPr>
                <w:p>
                  <w:pPr>
                    <w:pStyle w:val="36"/>
                    <w:snapToGrid w:val="0"/>
                    <w:jc w:val="center"/>
                    <w:rPr>
                      <w:rFonts w:ascii="Times New Roman" w:cs="Times New Roman"/>
                      <w:b/>
                      <w:bCs/>
                      <w:color w:val="auto"/>
                      <w:sz w:val="21"/>
                      <w:szCs w:val="21"/>
                    </w:rPr>
                  </w:pPr>
                  <w:r>
                    <w:rPr>
                      <w:rFonts w:ascii="Times New Roman" w:cs="Times New Roman"/>
                      <w:b/>
                      <w:bCs/>
                      <w:color w:val="auto"/>
                      <w:sz w:val="21"/>
                      <w:szCs w:val="21"/>
                    </w:rPr>
                    <w:t>Ⅱ</w:t>
                  </w:r>
                </w:p>
              </w:tc>
              <w:tc>
                <w:tcPr>
                  <w:tcW w:w="1524" w:type="dxa"/>
                  <w:vAlign w:val="center"/>
                </w:tcPr>
                <w:p>
                  <w:pPr>
                    <w:pStyle w:val="36"/>
                    <w:snapToGrid w:val="0"/>
                    <w:jc w:val="center"/>
                    <w:rPr>
                      <w:rFonts w:ascii="Times New Roman" w:cs="Times New Roman"/>
                      <w:b/>
                      <w:bCs/>
                      <w:color w:val="auto"/>
                      <w:sz w:val="21"/>
                      <w:szCs w:val="21"/>
                    </w:rPr>
                  </w:pPr>
                  <w:r>
                    <w:rPr>
                      <w:rFonts w:ascii="Times New Roman" w:cs="Times New Roman"/>
                      <w:b/>
                      <w:bCs/>
                      <w:color w:val="auto"/>
                      <w:sz w:val="21"/>
                      <w:szCs w:val="21"/>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24" w:type="dxa"/>
                  <w:vAlign w:val="center"/>
                </w:tcPr>
                <w:p>
                  <w:pPr>
                    <w:pStyle w:val="36"/>
                    <w:snapToGrid w:val="0"/>
                    <w:jc w:val="center"/>
                    <w:rPr>
                      <w:rFonts w:ascii="Times New Roman" w:cs="Times New Roman"/>
                      <w:color w:val="auto"/>
                      <w:sz w:val="21"/>
                      <w:szCs w:val="21"/>
                    </w:rPr>
                  </w:pPr>
                  <w:r>
                    <w:rPr>
                      <w:rFonts w:ascii="Times New Roman" w:cs="Times New Roman"/>
                      <w:color w:val="auto"/>
                      <w:sz w:val="21"/>
                      <w:szCs w:val="21"/>
                    </w:rPr>
                    <w:t>评价工作等级</w:t>
                  </w:r>
                </w:p>
              </w:tc>
              <w:tc>
                <w:tcPr>
                  <w:tcW w:w="1524" w:type="dxa"/>
                  <w:vAlign w:val="center"/>
                </w:tcPr>
                <w:p>
                  <w:pPr>
                    <w:pStyle w:val="36"/>
                    <w:snapToGrid w:val="0"/>
                    <w:jc w:val="center"/>
                    <w:rPr>
                      <w:rFonts w:ascii="Times New Roman" w:cs="Times New Roman"/>
                      <w:color w:val="auto"/>
                      <w:sz w:val="21"/>
                      <w:szCs w:val="21"/>
                    </w:rPr>
                  </w:pPr>
                  <w:r>
                    <w:rPr>
                      <w:rFonts w:ascii="Times New Roman" w:cs="Times New Roman"/>
                      <w:color w:val="auto"/>
                      <w:sz w:val="21"/>
                      <w:szCs w:val="21"/>
                    </w:rPr>
                    <w:t>一</w:t>
                  </w:r>
                </w:p>
              </w:tc>
              <w:tc>
                <w:tcPr>
                  <w:tcW w:w="1524" w:type="dxa"/>
                  <w:vAlign w:val="center"/>
                </w:tcPr>
                <w:p>
                  <w:pPr>
                    <w:pStyle w:val="36"/>
                    <w:snapToGrid w:val="0"/>
                    <w:jc w:val="center"/>
                    <w:rPr>
                      <w:rFonts w:ascii="Times New Roman" w:cs="Times New Roman"/>
                      <w:color w:val="auto"/>
                      <w:sz w:val="21"/>
                      <w:szCs w:val="21"/>
                    </w:rPr>
                  </w:pPr>
                  <w:r>
                    <w:rPr>
                      <w:rFonts w:ascii="Times New Roman" w:cs="Times New Roman"/>
                      <w:color w:val="auto"/>
                      <w:sz w:val="21"/>
                      <w:szCs w:val="21"/>
                    </w:rPr>
                    <w:t>二</w:t>
                  </w:r>
                </w:p>
              </w:tc>
              <w:tc>
                <w:tcPr>
                  <w:tcW w:w="1524" w:type="dxa"/>
                  <w:vAlign w:val="center"/>
                </w:tcPr>
                <w:p>
                  <w:pPr>
                    <w:pStyle w:val="36"/>
                    <w:snapToGrid w:val="0"/>
                    <w:jc w:val="center"/>
                    <w:rPr>
                      <w:rFonts w:ascii="Times New Roman" w:cs="Times New Roman"/>
                      <w:color w:val="auto"/>
                      <w:sz w:val="21"/>
                      <w:szCs w:val="21"/>
                    </w:rPr>
                  </w:pPr>
                  <w:r>
                    <w:rPr>
                      <w:rFonts w:ascii="Times New Roman" w:cs="Times New Roman"/>
                      <w:color w:val="auto"/>
                      <w:sz w:val="21"/>
                      <w:szCs w:val="21"/>
                    </w:rPr>
                    <w:t>三</w:t>
                  </w:r>
                </w:p>
              </w:tc>
              <w:tc>
                <w:tcPr>
                  <w:tcW w:w="1524" w:type="dxa"/>
                  <w:vAlign w:val="center"/>
                </w:tcPr>
                <w:p>
                  <w:pPr>
                    <w:pStyle w:val="36"/>
                    <w:snapToGrid w:val="0"/>
                    <w:jc w:val="center"/>
                    <w:rPr>
                      <w:rFonts w:ascii="Times New Roman" w:cs="Times New Roman"/>
                      <w:color w:val="auto"/>
                      <w:sz w:val="21"/>
                      <w:szCs w:val="21"/>
                    </w:rPr>
                  </w:pPr>
                  <w:r>
                    <w:rPr>
                      <w:rFonts w:ascii="Times New Roman" w:cs="Times New Roman"/>
                      <w:color w:val="auto"/>
                      <w:sz w:val="21"/>
                      <w:szCs w:val="21"/>
                    </w:rPr>
                    <w:t>简单分析</w:t>
                  </w:r>
                  <w:r>
                    <w:rPr>
                      <w:rFonts w:ascii="Times New Roman" w:cs="Times New Roman"/>
                      <w:color w:val="auto"/>
                      <w:sz w:val="21"/>
                      <w:szCs w:val="21"/>
                      <w:vertAlign w:val="super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620" w:type="dxa"/>
                  <w:gridSpan w:val="5"/>
                  <w:vAlign w:val="center"/>
                </w:tcPr>
                <w:p>
                  <w:pPr>
                    <w:widowControl/>
                    <w:adjustRightInd w:val="0"/>
                    <w:snapToGrid w:val="0"/>
                    <w:jc w:val="left"/>
                    <w:rPr>
                      <w:rFonts w:ascii="Times New Roman" w:hAnsi="Times New Roman" w:eastAsia="宋体" w:cs="Times New Roman"/>
                      <w:szCs w:val="21"/>
                    </w:rPr>
                  </w:pPr>
                  <w:r>
                    <w:rPr>
                      <w:rFonts w:ascii="Times New Roman" w:hAnsi="Times New Roman" w:eastAsia="宋体" w:cs="Times New Roman"/>
                      <w:kern w:val="0"/>
                      <w:szCs w:val="21"/>
                      <w:lang w:bidi="ar"/>
                    </w:rPr>
                    <w:t>a是相对于详细评价工作内容而言，在描述危险物质、环境影响途径、环境危害后果、风险防范措施等方面给出的定型说明</w:t>
                  </w:r>
                </w:p>
              </w:tc>
            </w:tr>
          </w:tbl>
          <w:p>
            <w:pPr>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判断本项目生产原料、产品、燃料、“三废”污染物等是否涉及大气环境风险物质（混合或稀释的风险物质按其组分比例折算成纯物质），计算涉及风险物质在厂界内的存在量（如存在量呈动态变化，则按年度内最大存在量计算）与其在附录A中临界量的比值Q。</w:t>
            </w:r>
          </w:p>
          <w:p>
            <w:pPr>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（1）当企业只设计一种风险物质时，该物质的数量与其临界量比值，即为Q。</w:t>
            </w:r>
          </w:p>
          <w:p>
            <w:pPr>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（2）当企业存在多种环境风险物质时，计算所涉及的每种环境风险物质与临界量的比值（Q），计算公式如下：</w:t>
            </w:r>
          </w:p>
          <w:p>
            <w:pPr>
              <w:adjustRightInd w:val="0"/>
              <w:snapToGrid w:val="0"/>
              <w:spacing w:line="360" w:lineRule="auto"/>
              <w:jc w:val="center"/>
              <w:rPr>
                <w:rFonts w:ascii="Times New Roman" w:hAnsi="Times New Roman" w:eastAsia="宋体" w:cs="Times New Roman"/>
                <w:sz w:val="24"/>
              </w:rPr>
            </w:pPr>
            <w:r>
              <w:rPr>
                <w:rFonts w:ascii="Times New Roman" w:hAnsi="Times New Roman" w:eastAsia="宋体" w:cs="Times New Roman"/>
                <w:position w:val="-30"/>
                <w:sz w:val="24"/>
              </w:rPr>
              <w:object>
                <v:shape id="_x0000_i1030" o:spt="75" type="#_x0000_t75" style="height:33.3pt;width:127.65pt;" o:ole="t" filled="f" o:preferrelative="t" stroked="f" coordsize="21600,21600">
                  <v:path/>
                  <v:fill on="f" focussize="0,0"/>
                  <v:stroke on="f" joinstyle="miter"/>
                  <v:imagedata r:id="rId23" o:title=""/>
                  <o:lock v:ext="edit" aspectratio="t"/>
                  <w10:wrap type="none"/>
                  <w10:anchorlock/>
                </v:shape>
                <o:OLEObject Type="Embed" ProgID="Equation.3" ShapeID="_x0000_i1030" DrawAspect="Content" ObjectID="_1468075730" r:id="rId22">
                  <o:LockedField>false</o:LockedField>
                </o:OLEObject>
              </w:object>
            </w:r>
          </w:p>
          <w:p>
            <w:pPr>
              <w:adjustRightInd w:val="0"/>
              <w:snapToGrid w:val="0"/>
              <w:spacing w:line="360" w:lineRule="auto"/>
              <w:ind w:firstLine="560"/>
              <w:rPr>
                <w:rFonts w:ascii="Times New Roman" w:hAnsi="Times New Roman" w:eastAsia="宋体" w:cs="Times New Roman"/>
                <w:sz w:val="24"/>
              </w:rPr>
            </w:pPr>
            <w:r>
              <w:rPr>
                <w:rFonts w:ascii="Times New Roman" w:hAnsi="Times New Roman" w:eastAsia="宋体" w:cs="Times New Roman"/>
                <w:sz w:val="24"/>
              </w:rPr>
              <w:t>式中：</w:t>
            </w:r>
            <w:r>
              <w:rPr>
                <w:rFonts w:ascii="Times New Roman" w:hAnsi="Times New Roman" w:eastAsia="宋体" w:cs="Times New Roman"/>
                <w:position w:val="-10"/>
                <w:sz w:val="24"/>
              </w:rPr>
              <w:object>
                <v:shape id="_x0000_i1031" o:spt="75" type="#_x0000_t75" style="height:18.35pt;width:14.25pt;" o:ole="t" filled="f" o:preferrelative="t" stroked="f" coordsize="21600,21600">
                  <v:path/>
                  <v:fill on="f" focussize="0,0"/>
                  <v:stroke on="f" joinstyle="miter"/>
                  <v:imagedata r:id="rId25" o:title=""/>
                  <o:lock v:ext="edit" aspectratio="t"/>
                  <w10:wrap type="none"/>
                  <w10:anchorlock/>
                </v:shape>
                <o:OLEObject Type="Embed" ProgID="Equation.3" ShapeID="_x0000_i1031" DrawAspect="Content" ObjectID="_1468075731" r:id="rId24">
                  <o:LockedField>false</o:LockedField>
                </o:OLEObject>
              </w:object>
            </w:r>
            <w:r>
              <w:rPr>
                <w:rFonts w:ascii="Times New Roman" w:hAnsi="Times New Roman" w:eastAsia="宋体" w:cs="Times New Roman"/>
                <w:sz w:val="24"/>
              </w:rPr>
              <w:t>、</w:t>
            </w:r>
            <w:r>
              <w:rPr>
                <w:rFonts w:ascii="Times New Roman" w:hAnsi="Times New Roman" w:eastAsia="宋体" w:cs="Times New Roman"/>
                <w:position w:val="-10"/>
                <w:sz w:val="24"/>
              </w:rPr>
              <w:object>
                <v:shape id="_x0000_i1032" o:spt="75" type="#_x0000_t75" style="height:18.35pt;width:14.95pt;" o:ole="t" filled="f" o:preferrelative="t" stroked="f" coordsize="21600,21600">
                  <v:path/>
                  <v:fill on="f" focussize="0,0"/>
                  <v:stroke on="f" joinstyle="miter"/>
                  <v:imagedata r:id="rId27" o:title=""/>
                  <o:lock v:ext="edit" aspectratio="t"/>
                  <w10:wrap type="none"/>
                  <w10:anchorlock/>
                </v:shape>
                <o:OLEObject Type="Embed" ProgID="Equation.3" ShapeID="_x0000_i1032" DrawAspect="Content" ObjectID="_1468075732" r:id="rId26">
                  <o:LockedField>false</o:LockedField>
                </o:OLEObject>
              </w:object>
            </w:r>
            <w:r>
              <w:rPr>
                <w:rFonts w:ascii="Times New Roman" w:hAnsi="Times New Roman" w:eastAsia="宋体" w:cs="Times New Roman"/>
                <w:sz w:val="24"/>
              </w:rPr>
              <w:t>……</w:t>
            </w:r>
            <w:r>
              <w:rPr>
                <w:rFonts w:ascii="Times New Roman" w:hAnsi="Times New Roman" w:eastAsia="宋体" w:cs="Times New Roman"/>
                <w:position w:val="-12"/>
                <w:sz w:val="24"/>
              </w:rPr>
              <w:object>
                <v:shape id="_x0000_i1033" o:spt="75" type="#_x0000_t75" style="height:18.35pt;width:14.95pt;" o:ole="t" filled="f" o:preferrelative="t" stroked="f" coordsize="21600,21600">
                  <v:path/>
                  <v:fill on="f" focussize="0,0"/>
                  <v:stroke on="f" joinstyle="miter"/>
                  <v:imagedata r:id="rId29" o:title=""/>
                  <o:lock v:ext="edit" aspectratio="t"/>
                  <w10:wrap type="none"/>
                  <w10:anchorlock/>
                </v:shape>
                <o:OLEObject Type="Embed" ProgID="Equation.3" ShapeID="_x0000_i1033" DrawAspect="Content" ObjectID="_1468075733" r:id="rId28">
                  <o:LockedField>false</o:LockedField>
                </o:OLEObject>
              </w:object>
            </w:r>
            <w:r>
              <w:rPr>
                <w:rFonts w:ascii="Times New Roman" w:hAnsi="Times New Roman" w:eastAsia="宋体" w:cs="Times New Roman"/>
                <w:sz w:val="24"/>
              </w:rPr>
              <w:t>—每种风险物质的存在量，t。</w:t>
            </w:r>
          </w:p>
          <w:p>
            <w:pPr>
              <w:adjustRightInd w:val="0"/>
              <w:snapToGrid w:val="0"/>
              <w:spacing w:line="360" w:lineRule="auto"/>
              <w:ind w:firstLine="1200" w:firstLineChars="500"/>
              <w:rPr>
                <w:rFonts w:ascii="Times New Roman" w:hAnsi="Times New Roman" w:eastAsia="宋体" w:cs="Times New Roman"/>
                <w:sz w:val="24"/>
              </w:rPr>
            </w:pPr>
            <w:r>
              <w:rPr>
                <w:rFonts w:ascii="Times New Roman" w:hAnsi="Times New Roman" w:eastAsia="宋体" w:cs="Times New Roman"/>
                <w:position w:val="-10"/>
                <w:sz w:val="24"/>
              </w:rPr>
              <w:object>
                <v:shape id="_x0000_i1034" o:spt="75" type="#_x0000_t75" style="height:18.35pt;width:14.95pt;" o:ole="t" filled="f" o:preferrelative="t" stroked="f" coordsize="21600,21600">
                  <v:path/>
                  <v:fill on="f" focussize="0,0"/>
                  <v:stroke on="f" joinstyle="miter"/>
                  <v:imagedata r:id="rId31" o:title=""/>
                  <o:lock v:ext="edit" aspectratio="t"/>
                  <w10:wrap type="none"/>
                  <w10:anchorlock/>
                </v:shape>
                <o:OLEObject Type="Embed" ProgID="Equation.3" ShapeID="_x0000_i1034" DrawAspect="Content" ObjectID="_1468075734" r:id="rId30">
                  <o:LockedField>false</o:LockedField>
                </o:OLEObject>
              </w:object>
            </w:r>
            <w:r>
              <w:rPr>
                <w:rFonts w:ascii="Times New Roman" w:hAnsi="Times New Roman" w:eastAsia="宋体" w:cs="Times New Roman"/>
                <w:sz w:val="24"/>
              </w:rPr>
              <w:t>、</w:t>
            </w:r>
            <w:r>
              <w:rPr>
                <w:rFonts w:ascii="Times New Roman" w:hAnsi="Times New Roman" w:eastAsia="宋体" w:cs="Times New Roman"/>
                <w:position w:val="-10"/>
                <w:sz w:val="24"/>
              </w:rPr>
              <w:object>
                <v:shape id="_x0000_i1035" o:spt="75" type="#_x0000_t75" style="height:18.35pt;width:16.3pt;" o:ole="t" filled="f" o:preferrelative="t" stroked="f" coordsize="21600,21600">
                  <v:path/>
                  <v:fill on="f" focussize="0,0"/>
                  <v:stroke on="f" joinstyle="miter"/>
                  <v:imagedata r:id="rId33" o:title=""/>
                  <o:lock v:ext="edit" aspectratio="t"/>
                  <w10:wrap type="none"/>
                  <w10:anchorlock/>
                </v:shape>
                <o:OLEObject Type="Embed" ProgID="Equation.3" ShapeID="_x0000_i1035" DrawAspect="Content" ObjectID="_1468075735" r:id="rId32">
                  <o:LockedField>false</o:LockedField>
                </o:OLEObject>
              </w:object>
            </w:r>
            <w:r>
              <w:rPr>
                <w:rFonts w:ascii="Times New Roman" w:hAnsi="Times New Roman" w:eastAsia="宋体" w:cs="Times New Roman"/>
                <w:sz w:val="24"/>
              </w:rPr>
              <w:t>……</w:t>
            </w:r>
            <w:r>
              <w:rPr>
                <w:rFonts w:ascii="Times New Roman" w:hAnsi="Times New Roman" w:eastAsia="宋体" w:cs="Times New Roman"/>
                <w:position w:val="-12"/>
                <w:sz w:val="24"/>
              </w:rPr>
              <w:object>
                <v:shape id="_x0000_i1036" o:spt="75" type="#_x0000_t75" style="height:18.35pt;width:16.3pt;" o:ole="t" filled="f" o:preferrelative="t" stroked="f" coordsize="21600,21600">
                  <v:path/>
                  <v:fill on="f" focussize="0,0"/>
                  <v:stroke on="f" joinstyle="miter"/>
                  <v:imagedata r:id="rId35" o:title=""/>
                  <o:lock v:ext="edit" aspectratio="t"/>
                  <w10:wrap type="none"/>
                  <w10:anchorlock/>
                </v:shape>
                <o:OLEObject Type="Embed" ProgID="Equation.3" ShapeID="_x0000_i1036" DrawAspect="Content" ObjectID="_1468075736" r:id="rId34">
                  <o:LockedField>false</o:LockedField>
                </o:OLEObject>
              </w:object>
            </w:r>
            <w:r>
              <w:rPr>
                <w:rFonts w:ascii="Times New Roman" w:hAnsi="Times New Roman" w:eastAsia="宋体" w:cs="Times New Roman"/>
                <w:sz w:val="24"/>
              </w:rPr>
              <w:t>—每种风险物质的临界量，t。</w:t>
            </w:r>
          </w:p>
          <w:p>
            <w:pPr>
              <w:adjustRightInd w:val="0"/>
              <w:snapToGrid w:val="0"/>
              <w:spacing w:line="360" w:lineRule="auto"/>
              <w:ind w:firstLine="560"/>
              <w:rPr>
                <w:rFonts w:ascii="Times New Roman" w:hAnsi="Times New Roman" w:eastAsia="宋体" w:cs="Times New Roman"/>
                <w:sz w:val="24"/>
              </w:rPr>
            </w:pPr>
            <w:r>
              <w:rPr>
                <w:rFonts w:ascii="Times New Roman" w:hAnsi="Times New Roman" w:eastAsia="宋体" w:cs="Times New Roman"/>
                <w:sz w:val="24"/>
              </w:rPr>
              <w:t>按照数值大小，将Q划分为4个水平：</w:t>
            </w:r>
          </w:p>
          <w:p>
            <w:pPr>
              <w:adjustRightInd w:val="0"/>
              <w:snapToGrid w:val="0"/>
              <w:spacing w:line="360" w:lineRule="auto"/>
              <w:ind w:firstLine="560"/>
              <w:rPr>
                <w:rFonts w:ascii="Times New Roman" w:hAnsi="Times New Roman" w:eastAsia="宋体" w:cs="Times New Roman"/>
                <w:sz w:val="24"/>
              </w:rPr>
            </w:pPr>
            <w:r>
              <w:rPr>
                <w:rFonts w:ascii="Times New Roman" w:hAnsi="Times New Roman" w:eastAsia="宋体" w:cs="Times New Roman"/>
                <w:sz w:val="24"/>
              </w:rPr>
              <w:t>（1）Q＜1，以Q</w:t>
            </w:r>
            <w:r>
              <w:rPr>
                <w:rFonts w:ascii="Times New Roman" w:hAnsi="Times New Roman" w:eastAsia="宋体" w:cs="Times New Roman"/>
                <w:sz w:val="24"/>
                <w:vertAlign w:val="subscript"/>
              </w:rPr>
              <w:t>0</w:t>
            </w:r>
            <w:r>
              <w:rPr>
                <w:rFonts w:ascii="Times New Roman" w:hAnsi="Times New Roman" w:eastAsia="宋体" w:cs="Times New Roman"/>
                <w:sz w:val="24"/>
              </w:rPr>
              <w:t>表示，企业风险潜势为Ⅰ；</w:t>
            </w:r>
          </w:p>
          <w:p>
            <w:pPr>
              <w:adjustRightInd w:val="0"/>
              <w:snapToGrid w:val="0"/>
              <w:spacing w:line="360" w:lineRule="auto"/>
              <w:ind w:firstLine="560"/>
              <w:rPr>
                <w:rFonts w:ascii="Times New Roman" w:hAnsi="Times New Roman" w:eastAsia="宋体" w:cs="Times New Roman"/>
                <w:sz w:val="24"/>
              </w:rPr>
            </w:pPr>
            <w:r>
              <w:rPr>
                <w:rFonts w:ascii="Times New Roman" w:hAnsi="Times New Roman" w:eastAsia="宋体" w:cs="Times New Roman"/>
                <w:sz w:val="24"/>
              </w:rPr>
              <w:t>（2）1≤Q＜10，以Q</w:t>
            </w:r>
            <w:r>
              <w:rPr>
                <w:rFonts w:ascii="Times New Roman" w:hAnsi="Times New Roman" w:eastAsia="宋体" w:cs="Times New Roman"/>
                <w:sz w:val="24"/>
                <w:vertAlign w:val="subscript"/>
              </w:rPr>
              <w:t>1</w:t>
            </w:r>
            <w:r>
              <w:rPr>
                <w:rFonts w:ascii="Times New Roman" w:hAnsi="Times New Roman" w:eastAsia="宋体" w:cs="Times New Roman"/>
                <w:sz w:val="24"/>
              </w:rPr>
              <w:t>表示；</w:t>
            </w:r>
          </w:p>
          <w:p>
            <w:pPr>
              <w:adjustRightInd w:val="0"/>
              <w:snapToGrid w:val="0"/>
              <w:spacing w:line="360" w:lineRule="auto"/>
              <w:ind w:firstLine="560"/>
              <w:rPr>
                <w:rFonts w:ascii="Times New Roman" w:hAnsi="Times New Roman" w:eastAsia="宋体" w:cs="Times New Roman"/>
                <w:sz w:val="24"/>
              </w:rPr>
            </w:pPr>
            <w:r>
              <w:rPr>
                <w:rFonts w:ascii="Times New Roman" w:hAnsi="Times New Roman" w:eastAsia="宋体" w:cs="Times New Roman"/>
                <w:sz w:val="24"/>
              </w:rPr>
              <w:t>（3）10≤Q＜100，以Q</w:t>
            </w:r>
            <w:r>
              <w:rPr>
                <w:rFonts w:ascii="Times New Roman" w:hAnsi="Times New Roman" w:eastAsia="宋体" w:cs="Times New Roman"/>
                <w:sz w:val="24"/>
                <w:vertAlign w:val="subscript"/>
              </w:rPr>
              <w:t>2</w:t>
            </w:r>
            <w:r>
              <w:rPr>
                <w:rFonts w:ascii="Times New Roman" w:hAnsi="Times New Roman" w:eastAsia="宋体" w:cs="Times New Roman"/>
                <w:sz w:val="24"/>
              </w:rPr>
              <w:t>表示；</w:t>
            </w:r>
          </w:p>
          <w:p>
            <w:pPr>
              <w:adjustRightInd w:val="0"/>
              <w:snapToGrid w:val="0"/>
              <w:spacing w:line="360" w:lineRule="auto"/>
              <w:ind w:firstLine="560"/>
              <w:rPr>
                <w:rFonts w:ascii="Times New Roman" w:hAnsi="Times New Roman" w:eastAsia="宋体" w:cs="Times New Roman"/>
                <w:sz w:val="24"/>
              </w:rPr>
            </w:pPr>
            <w:r>
              <w:rPr>
                <w:rFonts w:ascii="Times New Roman" w:hAnsi="Times New Roman" w:eastAsia="宋体" w:cs="Times New Roman"/>
                <w:sz w:val="24"/>
              </w:rPr>
              <w:t>（4）Q≥100，以Q</w:t>
            </w:r>
            <w:r>
              <w:rPr>
                <w:rFonts w:ascii="Times New Roman" w:hAnsi="Times New Roman" w:eastAsia="宋体" w:cs="Times New Roman"/>
                <w:sz w:val="24"/>
                <w:vertAlign w:val="subscript"/>
              </w:rPr>
              <w:t>3</w:t>
            </w:r>
            <w:r>
              <w:rPr>
                <w:rFonts w:ascii="Times New Roman" w:hAnsi="Times New Roman" w:eastAsia="宋体" w:cs="Times New Roman"/>
                <w:sz w:val="24"/>
              </w:rPr>
              <w:t>表示。</w:t>
            </w:r>
          </w:p>
          <w:p>
            <w:pPr>
              <w:adjustRightInd w:val="0"/>
              <w:snapToGrid w:val="0"/>
              <w:spacing w:line="360" w:lineRule="auto"/>
              <w:ind w:firstLine="560"/>
              <w:rPr>
                <w:rFonts w:ascii="Times New Roman" w:hAnsi="Times New Roman" w:eastAsia="宋体" w:cs="Times New Roman"/>
                <w:sz w:val="24"/>
              </w:rPr>
            </w:pPr>
            <w:r>
              <w:rPr>
                <w:rFonts w:ascii="Times New Roman" w:hAnsi="Times New Roman" w:eastAsia="宋体" w:cs="Times New Roman"/>
                <w:sz w:val="24"/>
              </w:rPr>
              <w:t>项目涉及的风险物质为废润滑油，其数量与其临界量比值Q详见表4-1</w:t>
            </w:r>
            <w:r>
              <w:rPr>
                <w:rFonts w:hint="eastAsia" w:ascii="Times New Roman" w:hAnsi="Times New Roman" w:eastAsia="宋体" w:cs="Times New Roman"/>
                <w:sz w:val="24"/>
              </w:rPr>
              <w:t>8</w:t>
            </w:r>
            <w:r>
              <w:rPr>
                <w:rFonts w:ascii="Times New Roman" w:hAnsi="Times New Roman" w:eastAsia="宋体" w:cs="Times New Roman"/>
                <w:sz w:val="24"/>
              </w:rPr>
              <w:t>所示。</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表4-1</w:t>
            </w:r>
            <w:r>
              <w:rPr>
                <w:rFonts w:hint="eastAsia" w:ascii="Times New Roman" w:hAnsi="Times New Roman" w:eastAsia="宋体" w:cs="Times New Roman"/>
                <w:b/>
                <w:szCs w:val="21"/>
              </w:rPr>
              <w:t>8</w:t>
            </w:r>
            <w:r>
              <w:rPr>
                <w:rFonts w:ascii="Times New Roman" w:hAnsi="Times New Roman" w:eastAsia="宋体" w:cs="Times New Roman"/>
                <w:b/>
                <w:szCs w:val="21"/>
              </w:rPr>
              <w:t xml:space="preserve"> 风险物质的数量与其临界量比值Q一览表</w:t>
            </w:r>
          </w:p>
          <w:tbl>
            <w:tblPr>
              <w:tblStyle w:val="46"/>
              <w:tblW w:w="76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8"/>
              <w:gridCol w:w="1889"/>
              <w:gridCol w:w="1723"/>
              <w:gridCol w:w="1542"/>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9" w:type="pct"/>
                  <w:shd w:val="clear" w:color="auto" w:fill="auto"/>
                  <w:vAlign w:val="center"/>
                </w:tcPr>
                <w:p>
                  <w:pPr>
                    <w:adjustRightInd w:val="0"/>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序号</w:t>
                  </w:r>
                </w:p>
              </w:tc>
              <w:tc>
                <w:tcPr>
                  <w:tcW w:w="1230" w:type="pct"/>
                  <w:shd w:val="clear" w:color="auto" w:fill="auto"/>
                  <w:vAlign w:val="center"/>
                </w:tcPr>
                <w:p>
                  <w:pPr>
                    <w:adjustRightInd w:val="0"/>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物质名称</w:t>
                  </w:r>
                </w:p>
              </w:tc>
              <w:tc>
                <w:tcPr>
                  <w:tcW w:w="1122" w:type="pct"/>
                  <w:shd w:val="clear" w:color="auto" w:fill="auto"/>
                  <w:vAlign w:val="center"/>
                </w:tcPr>
                <w:p>
                  <w:pPr>
                    <w:adjustRightInd w:val="0"/>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最大存量（t）</w:t>
                  </w:r>
                </w:p>
              </w:tc>
              <w:tc>
                <w:tcPr>
                  <w:tcW w:w="1002" w:type="pct"/>
                  <w:shd w:val="clear" w:color="auto" w:fill="auto"/>
                  <w:vAlign w:val="center"/>
                </w:tcPr>
                <w:p>
                  <w:pPr>
                    <w:adjustRightInd w:val="0"/>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临界量（t）</w:t>
                  </w:r>
                </w:p>
              </w:tc>
              <w:tc>
                <w:tcPr>
                  <w:tcW w:w="994" w:type="pct"/>
                  <w:shd w:val="clear" w:color="auto" w:fill="auto"/>
                  <w:vAlign w:val="center"/>
                </w:tcPr>
                <w:p>
                  <w:pPr>
                    <w:adjustRightInd w:val="0"/>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Q值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9" w:type="pct"/>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1</w:t>
                  </w:r>
                </w:p>
              </w:tc>
              <w:tc>
                <w:tcPr>
                  <w:tcW w:w="1230" w:type="pct"/>
                  <w:vAlign w:val="center"/>
                </w:tcPr>
                <w:p>
                  <w:pPr>
                    <w:pStyle w:val="36"/>
                    <w:snapToGrid w:val="0"/>
                    <w:jc w:val="center"/>
                    <w:rPr>
                      <w:rFonts w:ascii="Times New Roman" w:cs="Times New Roman"/>
                      <w:color w:val="auto"/>
                      <w:sz w:val="21"/>
                      <w:szCs w:val="21"/>
                    </w:rPr>
                  </w:pPr>
                  <w:r>
                    <w:rPr>
                      <w:rFonts w:ascii="Times New Roman" w:cs="Times New Roman"/>
                      <w:color w:val="auto"/>
                      <w:sz w:val="21"/>
                      <w:szCs w:val="21"/>
                    </w:rPr>
                    <w:t>废润滑油</w:t>
                  </w:r>
                </w:p>
              </w:tc>
              <w:tc>
                <w:tcPr>
                  <w:tcW w:w="1122" w:type="pct"/>
                  <w:vAlign w:val="center"/>
                </w:tcPr>
                <w:p>
                  <w:pPr>
                    <w:pStyle w:val="36"/>
                    <w:snapToGrid w:val="0"/>
                    <w:jc w:val="center"/>
                    <w:rPr>
                      <w:rFonts w:ascii="Times New Roman" w:cs="Times New Roman"/>
                      <w:color w:val="auto"/>
                      <w:sz w:val="21"/>
                      <w:szCs w:val="21"/>
                    </w:rPr>
                  </w:pPr>
                  <w:r>
                    <w:rPr>
                      <w:rFonts w:ascii="Times New Roman" w:cs="Times New Roman"/>
                      <w:color w:val="auto"/>
                      <w:sz w:val="21"/>
                      <w:szCs w:val="21"/>
                    </w:rPr>
                    <w:t>0.3</w:t>
                  </w:r>
                </w:p>
              </w:tc>
              <w:tc>
                <w:tcPr>
                  <w:tcW w:w="1002" w:type="pct"/>
                  <w:vAlign w:val="center"/>
                </w:tcPr>
                <w:p>
                  <w:pPr>
                    <w:pStyle w:val="36"/>
                    <w:snapToGrid w:val="0"/>
                    <w:jc w:val="center"/>
                    <w:rPr>
                      <w:rFonts w:ascii="Times New Roman" w:cs="Times New Roman"/>
                      <w:color w:val="auto"/>
                      <w:sz w:val="21"/>
                      <w:szCs w:val="21"/>
                    </w:rPr>
                  </w:pPr>
                  <w:r>
                    <w:rPr>
                      <w:rFonts w:ascii="Times New Roman" w:cs="Times New Roman"/>
                      <w:color w:val="auto"/>
                      <w:sz w:val="21"/>
                      <w:szCs w:val="21"/>
                    </w:rPr>
                    <w:t>2500</w:t>
                  </w:r>
                </w:p>
              </w:tc>
              <w:tc>
                <w:tcPr>
                  <w:tcW w:w="994" w:type="pct"/>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0.00012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005" w:type="pct"/>
                  <w:gridSpan w:val="4"/>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合计</w:t>
                  </w:r>
                </w:p>
              </w:tc>
              <w:tc>
                <w:tcPr>
                  <w:tcW w:w="994" w:type="pct"/>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0.00012</w:t>
                  </w:r>
                </w:p>
              </w:tc>
            </w:tr>
          </w:tbl>
          <w:p>
            <w:pPr>
              <w:widowControl/>
              <w:adjustRightInd w:val="0"/>
              <w:snapToGrid w:val="0"/>
              <w:spacing w:line="360" w:lineRule="auto"/>
              <w:ind w:firstLine="480" w:firstLineChars="200"/>
              <w:rPr>
                <w:rFonts w:ascii="Times New Roman" w:hAnsi="Times New Roman" w:eastAsia="宋体" w:cs="Times New Roman"/>
                <w:bCs/>
                <w:sz w:val="24"/>
              </w:rPr>
            </w:pPr>
            <w:r>
              <w:rPr>
                <w:rFonts w:ascii="Times New Roman" w:hAnsi="Times New Roman" w:eastAsia="宋体" w:cs="Times New Roman"/>
                <w:kern w:val="0"/>
                <w:sz w:val="24"/>
                <w:lang w:bidi="ar"/>
              </w:rPr>
              <w:t>根据《建设项目环境风险评价技术导则》（HJ 169-2018）附录B风险物质及临界量，本项目Q=</w:t>
            </w:r>
            <w:r>
              <w:rPr>
                <w:rFonts w:ascii="Times New Roman" w:hAnsi="Times New Roman" w:eastAsia="宋体" w:cs="Times New Roman"/>
                <w:sz w:val="24"/>
              </w:rPr>
              <w:t>0.00012</w:t>
            </w:r>
            <w:r>
              <w:rPr>
                <w:rFonts w:ascii="Times New Roman" w:hAnsi="Times New Roman" w:eastAsia="宋体" w:cs="Times New Roman"/>
                <w:kern w:val="0"/>
                <w:sz w:val="24"/>
                <w:lang w:bidi="ar"/>
              </w:rPr>
              <w:t>＜1。因此，本项目环境风险潜势为I，环境风险评价工作等级为简单分析。</w:t>
            </w:r>
          </w:p>
          <w:p>
            <w:pPr>
              <w:widowControl/>
              <w:adjustRightInd w:val="0"/>
              <w:snapToGrid w:val="0"/>
              <w:spacing w:line="360" w:lineRule="auto"/>
              <w:ind w:firstLine="482" w:firstLineChars="200"/>
              <w:rPr>
                <w:rFonts w:ascii="Times New Roman" w:hAnsi="Times New Roman" w:eastAsia="宋体" w:cs="Times New Roman"/>
                <w:sz w:val="24"/>
              </w:rPr>
            </w:pPr>
            <w:r>
              <w:rPr>
                <w:rFonts w:ascii="Times New Roman" w:hAnsi="Times New Roman" w:eastAsia="宋体" w:cs="Times New Roman"/>
                <w:b/>
                <w:kern w:val="0"/>
                <w:sz w:val="24"/>
                <w:lang w:bidi="ar"/>
              </w:rPr>
              <w:t>4、环境风险分析</w:t>
            </w:r>
          </w:p>
          <w:p>
            <w:pPr>
              <w:pStyle w:val="68"/>
              <w:spacing w:before="0" w:beforeLines="0" w:after="0" w:afterLines="0" w:line="360" w:lineRule="auto"/>
              <w:ind w:firstLine="496" w:firstLineChars="200"/>
              <w:rPr>
                <w:rFonts w:ascii="Times New Roman" w:hAnsi="Times New Roman" w:eastAsia="宋体" w:cs="Times New Roman"/>
                <w:lang w:val="zh-CN"/>
              </w:rPr>
            </w:pPr>
            <w:r>
              <w:rPr>
                <w:rFonts w:ascii="Times New Roman" w:hAnsi="Times New Roman" w:eastAsia="宋体" w:cs="Times New Roman"/>
                <w:lang w:val="zh-CN"/>
              </w:rPr>
              <w:t>本项目可能发生的突发环境事件情形主要为泄漏事故以及火灾爆炸引发的环境污染事故，详见表</w:t>
            </w:r>
            <w:r>
              <w:rPr>
                <w:rFonts w:ascii="Times New Roman" w:hAnsi="Times New Roman" w:eastAsia="宋体" w:cs="Times New Roman"/>
              </w:rPr>
              <w:t>4-1</w:t>
            </w:r>
            <w:r>
              <w:rPr>
                <w:rFonts w:hint="eastAsia" w:ascii="Times New Roman" w:hAnsi="Times New Roman" w:eastAsia="宋体" w:cs="Times New Roman"/>
              </w:rPr>
              <w:t>9</w:t>
            </w:r>
            <w:r>
              <w:rPr>
                <w:rFonts w:ascii="Times New Roman" w:hAnsi="Times New Roman" w:eastAsia="宋体" w:cs="Times New Roman"/>
                <w:lang w:val="zh-CN"/>
              </w:rPr>
              <w:t>。</w:t>
            </w:r>
          </w:p>
          <w:p>
            <w:pPr>
              <w:pStyle w:val="68"/>
              <w:spacing w:before="0" w:beforeLines="0" w:after="0" w:afterLines="0"/>
              <w:jc w:val="center"/>
              <w:rPr>
                <w:rFonts w:ascii="Times New Roman" w:hAnsi="Times New Roman" w:eastAsia="宋体" w:cs="Times New Roman"/>
                <w:b/>
                <w:bCs/>
                <w:sz w:val="21"/>
                <w:szCs w:val="21"/>
              </w:rPr>
            </w:pPr>
            <w:r>
              <w:rPr>
                <w:rFonts w:ascii="Times New Roman" w:hAnsi="Times New Roman" w:eastAsia="宋体" w:cs="Times New Roman"/>
                <w:b/>
                <w:bCs/>
                <w:sz w:val="21"/>
                <w:szCs w:val="21"/>
                <w:lang w:val="zh-CN"/>
              </w:rPr>
              <w:t>表</w:t>
            </w:r>
            <w:r>
              <w:rPr>
                <w:rFonts w:ascii="Times New Roman" w:hAnsi="Times New Roman" w:eastAsia="宋体" w:cs="Times New Roman"/>
                <w:b/>
                <w:bCs/>
                <w:sz w:val="21"/>
                <w:szCs w:val="21"/>
              </w:rPr>
              <w:t>4-1</w:t>
            </w:r>
            <w:r>
              <w:rPr>
                <w:rFonts w:hint="eastAsia" w:ascii="Times New Roman" w:hAnsi="Times New Roman" w:eastAsia="宋体" w:cs="Times New Roman"/>
                <w:b/>
                <w:bCs/>
                <w:sz w:val="21"/>
                <w:szCs w:val="21"/>
              </w:rPr>
              <w:t>9</w:t>
            </w:r>
            <w:r>
              <w:rPr>
                <w:rFonts w:ascii="Times New Roman" w:hAnsi="Times New Roman" w:eastAsia="宋体" w:cs="Times New Roman"/>
                <w:b/>
                <w:bCs/>
                <w:sz w:val="21"/>
                <w:szCs w:val="21"/>
              </w:rPr>
              <w:t xml:space="preserve"> </w:t>
            </w:r>
            <w:r>
              <w:rPr>
                <w:rFonts w:ascii="Times New Roman" w:hAnsi="Times New Roman" w:eastAsia="宋体" w:cs="Times New Roman"/>
                <w:b/>
                <w:bCs/>
                <w:sz w:val="21"/>
                <w:szCs w:val="21"/>
                <w:lang w:val="zh-CN"/>
              </w:rPr>
              <w:t>危险物质向环境转移的途径识别</w:t>
            </w:r>
          </w:p>
          <w:tbl>
            <w:tblPr>
              <w:tblStyle w:val="29"/>
              <w:tblW w:w="76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26"/>
              <w:gridCol w:w="978"/>
              <w:gridCol w:w="922"/>
              <w:gridCol w:w="1597"/>
              <w:gridCol w:w="1047"/>
              <w:gridCol w:w="902"/>
              <w:gridCol w:w="1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4" w:hRule="atLeast"/>
                <w:jc w:val="center"/>
              </w:trPr>
              <w:tc>
                <w:tcPr>
                  <w:tcW w:w="673" w:type="pct"/>
                  <w:vMerge w:val="restart"/>
                  <w:vAlign w:val="center"/>
                </w:tcPr>
                <w:p>
                  <w:pPr>
                    <w:pStyle w:val="54"/>
                    <w:autoSpaceDE/>
                    <w:autoSpaceDN/>
                    <w:adjustRightInd w:val="0"/>
                    <w:snapToGrid w:val="0"/>
                    <w:jc w:val="center"/>
                    <w:rPr>
                      <w:rFonts w:ascii="Times New Roman" w:hAnsi="Times New Roman" w:cs="Times New Roman"/>
                      <w:b/>
                      <w:bCs/>
                      <w:sz w:val="21"/>
                      <w:szCs w:val="21"/>
                    </w:rPr>
                  </w:pPr>
                  <w:r>
                    <w:rPr>
                      <w:rFonts w:ascii="Times New Roman" w:hAnsi="Times New Roman" w:cs="Times New Roman"/>
                      <w:b/>
                      <w:bCs/>
                      <w:sz w:val="21"/>
                      <w:szCs w:val="21"/>
                    </w:rPr>
                    <w:t>危险</w:t>
                  </w:r>
                </w:p>
                <w:p>
                  <w:pPr>
                    <w:pStyle w:val="54"/>
                    <w:autoSpaceDE/>
                    <w:autoSpaceDN/>
                    <w:adjustRightInd w:val="0"/>
                    <w:snapToGrid w:val="0"/>
                    <w:jc w:val="center"/>
                    <w:rPr>
                      <w:rFonts w:ascii="Times New Roman" w:hAnsi="Times New Roman" w:cs="Times New Roman"/>
                      <w:b/>
                      <w:bCs/>
                      <w:sz w:val="21"/>
                      <w:szCs w:val="21"/>
                    </w:rPr>
                  </w:pPr>
                  <w:r>
                    <w:rPr>
                      <w:rFonts w:ascii="Times New Roman" w:hAnsi="Times New Roman" w:cs="Times New Roman"/>
                      <w:b/>
                      <w:bCs/>
                      <w:sz w:val="21"/>
                      <w:szCs w:val="21"/>
                    </w:rPr>
                    <w:t>单元</w:t>
                  </w:r>
                </w:p>
              </w:tc>
              <w:tc>
                <w:tcPr>
                  <w:tcW w:w="641" w:type="pct"/>
                  <w:vMerge w:val="restart"/>
                  <w:vAlign w:val="center"/>
                </w:tcPr>
                <w:p>
                  <w:pPr>
                    <w:pStyle w:val="54"/>
                    <w:autoSpaceDE/>
                    <w:autoSpaceDN/>
                    <w:adjustRightInd w:val="0"/>
                    <w:snapToGrid w:val="0"/>
                    <w:jc w:val="center"/>
                    <w:rPr>
                      <w:rFonts w:ascii="Times New Roman" w:hAnsi="Times New Roman" w:cs="Times New Roman"/>
                      <w:b/>
                      <w:bCs/>
                      <w:sz w:val="21"/>
                      <w:szCs w:val="21"/>
                    </w:rPr>
                  </w:pPr>
                  <w:r>
                    <w:rPr>
                      <w:rFonts w:ascii="Times New Roman" w:hAnsi="Times New Roman" w:cs="Times New Roman"/>
                      <w:b/>
                      <w:bCs/>
                      <w:sz w:val="21"/>
                      <w:szCs w:val="21"/>
                    </w:rPr>
                    <w:t>危险</w:t>
                  </w:r>
                </w:p>
                <w:p>
                  <w:pPr>
                    <w:pStyle w:val="54"/>
                    <w:autoSpaceDE/>
                    <w:autoSpaceDN/>
                    <w:adjustRightInd w:val="0"/>
                    <w:snapToGrid w:val="0"/>
                    <w:jc w:val="center"/>
                    <w:rPr>
                      <w:rFonts w:ascii="Times New Roman" w:hAnsi="Times New Roman" w:cs="Times New Roman"/>
                      <w:b/>
                      <w:bCs/>
                      <w:sz w:val="21"/>
                      <w:szCs w:val="21"/>
                    </w:rPr>
                  </w:pPr>
                  <w:r>
                    <w:rPr>
                      <w:rFonts w:ascii="Times New Roman" w:hAnsi="Times New Roman" w:cs="Times New Roman"/>
                      <w:b/>
                      <w:bCs/>
                      <w:sz w:val="21"/>
                      <w:szCs w:val="21"/>
                    </w:rPr>
                    <w:t>物质</w:t>
                  </w:r>
                </w:p>
              </w:tc>
              <w:tc>
                <w:tcPr>
                  <w:tcW w:w="605" w:type="pct"/>
                  <w:vMerge w:val="restart"/>
                  <w:vAlign w:val="center"/>
                </w:tcPr>
                <w:p>
                  <w:pPr>
                    <w:pStyle w:val="54"/>
                    <w:autoSpaceDE/>
                    <w:autoSpaceDN/>
                    <w:adjustRightInd w:val="0"/>
                    <w:snapToGrid w:val="0"/>
                    <w:jc w:val="center"/>
                    <w:rPr>
                      <w:rFonts w:ascii="Times New Roman" w:hAnsi="Times New Roman" w:cs="Times New Roman"/>
                      <w:b/>
                      <w:bCs/>
                      <w:sz w:val="21"/>
                      <w:szCs w:val="21"/>
                    </w:rPr>
                  </w:pPr>
                  <w:r>
                    <w:rPr>
                      <w:rFonts w:ascii="Times New Roman" w:hAnsi="Times New Roman" w:cs="Times New Roman"/>
                      <w:b/>
                      <w:bCs/>
                      <w:sz w:val="21"/>
                      <w:szCs w:val="21"/>
                    </w:rPr>
                    <w:t>环境风险类型</w:t>
                  </w:r>
                </w:p>
              </w:tc>
              <w:tc>
                <w:tcPr>
                  <w:tcW w:w="1048" w:type="pct"/>
                  <w:vMerge w:val="restart"/>
                  <w:vAlign w:val="center"/>
                </w:tcPr>
                <w:p>
                  <w:pPr>
                    <w:pStyle w:val="54"/>
                    <w:autoSpaceDE/>
                    <w:autoSpaceDN/>
                    <w:adjustRightInd w:val="0"/>
                    <w:snapToGrid w:val="0"/>
                    <w:jc w:val="center"/>
                    <w:rPr>
                      <w:rFonts w:ascii="Times New Roman" w:hAnsi="Times New Roman" w:cs="Times New Roman"/>
                      <w:b/>
                      <w:bCs/>
                      <w:sz w:val="21"/>
                      <w:szCs w:val="21"/>
                    </w:rPr>
                  </w:pPr>
                  <w:r>
                    <w:rPr>
                      <w:rFonts w:ascii="Times New Roman" w:hAnsi="Times New Roman" w:cs="Times New Roman"/>
                      <w:b/>
                      <w:bCs/>
                      <w:sz w:val="21"/>
                      <w:szCs w:val="21"/>
                    </w:rPr>
                    <w:t>事故危害形式</w:t>
                  </w:r>
                </w:p>
              </w:tc>
              <w:tc>
                <w:tcPr>
                  <w:tcW w:w="2031" w:type="pct"/>
                  <w:gridSpan w:val="3"/>
                  <w:vAlign w:val="center"/>
                </w:tcPr>
                <w:p>
                  <w:pPr>
                    <w:pStyle w:val="54"/>
                    <w:autoSpaceDE/>
                    <w:autoSpaceDN/>
                    <w:adjustRightInd w:val="0"/>
                    <w:snapToGrid w:val="0"/>
                    <w:jc w:val="center"/>
                    <w:rPr>
                      <w:rFonts w:ascii="Times New Roman" w:hAnsi="Times New Roman" w:cs="Times New Roman"/>
                      <w:b/>
                      <w:bCs/>
                      <w:sz w:val="21"/>
                      <w:szCs w:val="21"/>
                    </w:rPr>
                  </w:pPr>
                  <w:r>
                    <w:rPr>
                      <w:rFonts w:ascii="Times New Roman" w:hAnsi="Times New Roman" w:cs="Times New Roman"/>
                      <w:b/>
                      <w:bCs/>
                      <w:sz w:val="21"/>
                      <w:szCs w:val="21"/>
                    </w:rPr>
                    <w:t>污染物转移途径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4" w:hRule="atLeast"/>
                <w:jc w:val="center"/>
              </w:trPr>
              <w:tc>
                <w:tcPr>
                  <w:tcW w:w="673" w:type="pct"/>
                  <w:vMerge w:val="continue"/>
                  <w:vAlign w:val="center"/>
                </w:tcPr>
                <w:p>
                  <w:pPr>
                    <w:adjustRightInd w:val="0"/>
                    <w:snapToGrid w:val="0"/>
                    <w:jc w:val="center"/>
                    <w:rPr>
                      <w:rFonts w:ascii="Times New Roman" w:hAnsi="Times New Roman" w:eastAsia="宋体" w:cs="Times New Roman"/>
                      <w:szCs w:val="21"/>
                    </w:rPr>
                  </w:pPr>
                </w:p>
              </w:tc>
              <w:tc>
                <w:tcPr>
                  <w:tcW w:w="641" w:type="pct"/>
                  <w:vMerge w:val="continue"/>
                  <w:vAlign w:val="center"/>
                </w:tcPr>
                <w:p>
                  <w:pPr>
                    <w:adjustRightInd w:val="0"/>
                    <w:snapToGrid w:val="0"/>
                    <w:jc w:val="center"/>
                    <w:rPr>
                      <w:rFonts w:ascii="Times New Roman" w:hAnsi="Times New Roman" w:eastAsia="宋体" w:cs="Times New Roman"/>
                      <w:szCs w:val="21"/>
                    </w:rPr>
                  </w:pPr>
                </w:p>
              </w:tc>
              <w:tc>
                <w:tcPr>
                  <w:tcW w:w="605" w:type="pct"/>
                  <w:vMerge w:val="continue"/>
                  <w:vAlign w:val="center"/>
                </w:tcPr>
                <w:p>
                  <w:pPr>
                    <w:adjustRightInd w:val="0"/>
                    <w:snapToGrid w:val="0"/>
                    <w:jc w:val="center"/>
                    <w:rPr>
                      <w:rFonts w:ascii="Times New Roman" w:hAnsi="Times New Roman" w:eastAsia="宋体" w:cs="Times New Roman"/>
                      <w:szCs w:val="21"/>
                    </w:rPr>
                  </w:pPr>
                </w:p>
              </w:tc>
              <w:tc>
                <w:tcPr>
                  <w:tcW w:w="1048" w:type="pct"/>
                  <w:vMerge w:val="continue"/>
                  <w:vAlign w:val="center"/>
                </w:tcPr>
                <w:p>
                  <w:pPr>
                    <w:adjustRightInd w:val="0"/>
                    <w:snapToGrid w:val="0"/>
                    <w:jc w:val="center"/>
                    <w:rPr>
                      <w:rFonts w:ascii="Times New Roman" w:hAnsi="Times New Roman" w:eastAsia="宋体" w:cs="Times New Roman"/>
                      <w:szCs w:val="21"/>
                    </w:rPr>
                  </w:pPr>
                </w:p>
              </w:tc>
              <w:tc>
                <w:tcPr>
                  <w:tcW w:w="687" w:type="pct"/>
                  <w:vAlign w:val="center"/>
                </w:tcPr>
                <w:p>
                  <w:pPr>
                    <w:pStyle w:val="54"/>
                    <w:autoSpaceDE/>
                    <w:autoSpaceDN/>
                    <w:adjustRightInd w:val="0"/>
                    <w:snapToGrid w:val="0"/>
                    <w:jc w:val="center"/>
                    <w:rPr>
                      <w:rFonts w:ascii="Times New Roman" w:hAnsi="Times New Roman" w:cs="Times New Roman"/>
                      <w:b/>
                      <w:sz w:val="21"/>
                      <w:szCs w:val="21"/>
                    </w:rPr>
                  </w:pPr>
                  <w:r>
                    <w:rPr>
                      <w:rFonts w:ascii="Times New Roman" w:hAnsi="Times New Roman" w:cs="Times New Roman"/>
                      <w:b/>
                      <w:sz w:val="21"/>
                      <w:szCs w:val="21"/>
                    </w:rPr>
                    <w:t>大气</w:t>
                  </w:r>
                </w:p>
              </w:tc>
              <w:tc>
                <w:tcPr>
                  <w:tcW w:w="592" w:type="pct"/>
                  <w:vAlign w:val="center"/>
                </w:tcPr>
                <w:p>
                  <w:pPr>
                    <w:pStyle w:val="54"/>
                    <w:autoSpaceDE/>
                    <w:autoSpaceDN/>
                    <w:adjustRightInd w:val="0"/>
                    <w:snapToGrid w:val="0"/>
                    <w:jc w:val="center"/>
                    <w:rPr>
                      <w:rFonts w:ascii="Times New Roman" w:hAnsi="Times New Roman" w:cs="Times New Roman"/>
                      <w:b/>
                      <w:sz w:val="21"/>
                      <w:szCs w:val="21"/>
                    </w:rPr>
                  </w:pPr>
                  <w:r>
                    <w:rPr>
                      <w:rFonts w:ascii="Times New Roman" w:hAnsi="Times New Roman" w:cs="Times New Roman"/>
                      <w:b/>
                      <w:sz w:val="21"/>
                      <w:szCs w:val="21"/>
                    </w:rPr>
                    <w:t>地表水</w:t>
                  </w:r>
                </w:p>
              </w:tc>
              <w:tc>
                <w:tcPr>
                  <w:tcW w:w="752" w:type="pct"/>
                  <w:vAlign w:val="center"/>
                </w:tcPr>
                <w:p>
                  <w:pPr>
                    <w:pStyle w:val="54"/>
                    <w:autoSpaceDE/>
                    <w:autoSpaceDN/>
                    <w:adjustRightInd w:val="0"/>
                    <w:snapToGrid w:val="0"/>
                    <w:jc w:val="center"/>
                    <w:rPr>
                      <w:rFonts w:ascii="Times New Roman" w:hAnsi="Times New Roman" w:cs="Times New Roman"/>
                      <w:b/>
                      <w:sz w:val="21"/>
                      <w:szCs w:val="21"/>
                    </w:rPr>
                  </w:pPr>
                  <w:r>
                    <w:rPr>
                      <w:rFonts w:ascii="Times New Roman" w:hAnsi="Times New Roman" w:cs="Times New Roman"/>
                      <w:b/>
                      <w:sz w:val="21"/>
                      <w:szCs w:val="21"/>
                    </w:rPr>
                    <w:t>地下水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73" w:type="pct"/>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危废暂存间</w:t>
                  </w:r>
                </w:p>
              </w:tc>
              <w:tc>
                <w:tcPr>
                  <w:tcW w:w="641" w:type="pct"/>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废润滑油</w:t>
                  </w:r>
                </w:p>
              </w:tc>
              <w:tc>
                <w:tcPr>
                  <w:tcW w:w="605" w:type="pct"/>
                  <w:vAlign w:val="center"/>
                </w:tcPr>
                <w:p>
                  <w:pPr>
                    <w:pStyle w:val="54"/>
                    <w:autoSpaceDE/>
                    <w:autoSpaceDN/>
                    <w:adjustRightInd w:val="0"/>
                    <w:snapToGrid w:val="0"/>
                    <w:jc w:val="center"/>
                    <w:rPr>
                      <w:rFonts w:ascii="Times New Roman" w:hAnsi="Times New Roman" w:cs="Times New Roman"/>
                      <w:sz w:val="21"/>
                      <w:szCs w:val="21"/>
                    </w:rPr>
                  </w:pPr>
                  <w:r>
                    <w:rPr>
                      <w:rFonts w:ascii="Times New Roman" w:hAnsi="Times New Roman" w:cs="Times New Roman"/>
                      <w:sz w:val="21"/>
                      <w:szCs w:val="21"/>
                    </w:rPr>
                    <w:t>泄漏</w:t>
                  </w:r>
                </w:p>
              </w:tc>
              <w:tc>
                <w:tcPr>
                  <w:tcW w:w="1048" w:type="pct"/>
                  <w:vAlign w:val="center"/>
                </w:tcPr>
                <w:p>
                  <w:pPr>
                    <w:pStyle w:val="54"/>
                    <w:autoSpaceDE/>
                    <w:autoSpaceDN/>
                    <w:adjustRightInd w:val="0"/>
                    <w:snapToGrid w:val="0"/>
                    <w:jc w:val="center"/>
                    <w:rPr>
                      <w:rFonts w:ascii="Times New Roman" w:hAnsi="Times New Roman" w:cs="Times New Roman"/>
                      <w:sz w:val="21"/>
                      <w:szCs w:val="21"/>
                    </w:rPr>
                  </w:pPr>
                  <w:r>
                    <w:rPr>
                      <w:rFonts w:ascii="Times New Roman" w:hAnsi="Times New Roman" w:cs="Times New Roman"/>
                      <w:sz w:val="21"/>
                      <w:szCs w:val="21"/>
                    </w:rPr>
                    <w:t>泄漏液体</w:t>
                  </w:r>
                </w:p>
              </w:tc>
              <w:tc>
                <w:tcPr>
                  <w:tcW w:w="687" w:type="pct"/>
                  <w:vAlign w:val="center"/>
                </w:tcPr>
                <w:p>
                  <w:pPr>
                    <w:pStyle w:val="54"/>
                    <w:autoSpaceDE/>
                    <w:autoSpaceDN/>
                    <w:adjustRightInd w:val="0"/>
                    <w:snapToGrid w:val="0"/>
                    <w:jc w:val="center"/>
                    <w:rPr>
                      <w:rFonts w:ascii="Times New Roman" w:hAnsi="Times New Roman" w:cs="Times New Roman"/>
                      <w:b/>
                      <w:sz w:val="21"/>
                      <w:szCs w:val="21"/>
                    </w:rPr>
                  </w:pPr>
                  <w:r>
                    <w:rPr>
                      <w:rFonts w:ascii="Times New Roman" w:hAnsi="Times New Roman" w:cs="Times New Roman"/>
                      <w:sz w:val="21"/>
                      <w:szCs w:val="21"/>
                    </w:rPr>
                    <w:t>挥发扩散</w:t>
                  </w:r>
                </w:p>
              </w:tc>
              <w:tc>
                <w:tcPr>
                  <w:tcW w:w="592" w:type="pct"/>
                  <w:vAlign w:val="center"/>
                </w:tcPr>
                <w:p>
                  <w:pPr>
                    <w:pStyle w:val="54"/>
                    <w:autoSpaceDE/>
                    <w:autoSpaceDN/>
                    <w:adjustRightInd w:val="0"/>
                    <w:snapToGrid w:val="0"/>
                    <w:jc w:val="center"/>
                    <w:rPr>
                      <w:rFonts w:ascii="Times New Roman" w:hAnsi="Times New Roman" w:cs="Times New Roman"/>
                      <w:b/>
                      <w:sz w:val="21"/>
                      <w:szCs w:val="21"/>
                    </w:rPr>
                  </w:pPr>
                  <w:r>
                    <w:rPr>
                      <w:rFonts w:ascii="Times New Roman" w:hAnsi="Times New Roman" w:cs="Times New Roman"/>
                      <w:sz w:val="21"/>
                      <w:szCs w:val="21"/>
                    </w:rPr>
                    <w:t>地面漫流</w:t>
                  </w:r>
                </w:p>
              </w:tc>
              <w:tc>
                <w:tcPr>
                  <w:tcW w:w="752" w:type="pct"/>
                  <w:vAlign w:val="center"/>
                </w:tcPr>
                <w:p>
                  <w:pPr>
                    <w:pStyle w:val="54"/>
                    <w:autoSpaceDE/>
                    <w:autoSpaceDN/>
                    <w:adjustRightInd w:val="0"/>
                    <w:snapToGrid w:val="0"/>
                    <w:jc w:val="center"/>
                    <w:rPr>
                      <w:rFonts w:ascii="Times New Roman" w:hAnsi="Times New Roman" w:cs="Times New Roman"/>
                      <w:b/>
                      <w:sz w:val="21"/>
                      <w:szCs w:val="21"/>
                    </w:rPr>
                  </w:pPr>
                  <w:r>
                    <w:rPr>
                      <w:rFonts w:ascii="Times New Roman" w:hAnsi="Times New Roman" w:cs="Times New Roman"/>
                      <w:sz w:val="21"/>
                      <w:szCs w:val="21"/>
                    </w:rPr>
                    <w:t>垂直下渗</w:t>
                  </w:r>
                </w:p>
              </w:tc>
            </w:tr>
          </w:tbl>
          <w:p>
            <w:pPr>
              <w:widowControl/>
              <w:adjustRightInd w:val="0"/>
              <w:snapToGrid w:val="0"/>
              <w:spacing w:line="360" w:lineRule="auto"/>
              <w:ind w:firstLine="482" w:firstLineChars="200"/>
              <w:rPr>
                <w:rFonts w:ascii="Times New Roman" w:hAnsi="Times New Roman" w:eastAsia="宋体" w:cs="Times New Roman"/>
                <w:sz w:val="24"/>
              </w:rPr>
            </w:pPr>
            <w:r>
              <w:rPr>
                <w:rFonts w:ascii="Times New Roman" w:hAnsi="Times New Roman" w:eastAsia="宋体" w:cs="Times New Roman"/>
                <w:b/>
                <w:kern w:val="0"/>
                <w:sz w:val="24"/>
                <w:lang w:bidi="ar"/>
              </w:rPr>
              <w:t>5、环境风险防范措施及应急要求</w:t>
            </w:r>
          </w:p>
          <w:p>
            <w:pPr>
              <w:widowControl/>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kern w:val="0"/>
                <w:sz w:val="24"/>
                <w:lang w:bidi="ar"/>
              </w:rPr>
              <w:t>①加强职工的安全教育，增强安全防范风险的意识；</w:t>
            </w:r>
          </w:p>
          <w:p>
            <w:pPr>
              <w:widowControl/>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kern w:val="0"/>
                <w:sz w:val="24"/>
                <w:lang w:bidi="ar"/>
              </w:rPr>
              <w:t>②针对运营中可能发生的异常现象和存在的安全隐患，设置合理可行的技术措施，制定严格的操作规程；</w:t>
            </w:r>
          </w:p>
          <w:p>
            <w:pPr>
              <w:widowControl/>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kern w:val="0"/>
                <w:sz w:val="24"/>
                <w:lang w:bidi="ar"/>
              </w:rPr>
              <w:t>③生产过程中，安排专人定期对环保设备巡检、维护，有效防范设备发生故障时及时处理；</w:t>
            </w:r>
          </w:p>
          <w:p>
            <w:pPr>
              <w:widowControl/>
              <w:adjustRightInd w:val="0"/>
              <w:snapToGrid w:val="0"/>
              <w:spacing w:line="360" w:lineRule="auto"/>
              <w:ind w:firstLine="480" w:firstLineChars="200"/>
              <w:rPr>
                <w:rFonts w:ascii="Times New Roman" w:hAnsi="Times New Roman" w:eastAsia="宋体" w:cs="Times New Roman"/>
                <w:kern w:val="0"/>
                <w:sz w:val="24"/>
                <w:lang w:bidi="ar"/>
              </w:rPr>
            </w:pPr>
            <w:r>
              <w:rPr>
                <w:rFonts w:ascii="Times New Roman" w:hAnsi="Times New Roman" w:eastAsia="宋体" w:cs="Times New Roman"/>
                <w:kern w:val="0"/>
                <w:sz w:val="24"/>
                <w:lang w:bidi="ar"/>
              </w:rPr>
              <w:t>④规范化设置危废暂存间，并做好台账登记管理。</w:t>
            </w:r>
          </w:p>
          <w:p>
            <w:pPr>
              <w:widowControl/>
              <w:adjustRightInd w:val="0"/>
              <w:snapToGrid w:val="0"/>
              <w:spacing w:line="360" w:lineRule="auto"/>
              <w:ind w:firstLine="482" w:firstLineChars="200"/>
              <w:rPr>
                <w:rFonts w:ascii="Times New Roman" w:hAnsi="Times New Roman" w:eastAsia="宋体" w:cs="Times New Roman"/>
                <w:sz w:val="24"/>
              </w:rPr>
            </w:pPr>
            <w:r>
              <w:rPr>
                <w:rFonts w:ascii="Times New Roman" w:hAnsi="Times New Roman" w:eastAsia="宋体" w:cs="Times New Roman"/>
                <w:b/>
                <w:kern w:val="0"/>
                <w:sz w:val="24"/>
                <w:lang w:bidi="ar"/>
              </w:rPr>
              <w:t>6、环境风险分析结论</w:t>
            </w:r>
          </w:p>
          <w:p>
            <w:pPr>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kern w:val="0"/>
                <w:sz w:val="24"/>
                <w:lang w:bidi="ar"/>
              </w:rPr>
              <w:t>根据风险识别以及分析评价，确定本项目的最大可信事故为：废润滑油泄漏。项目设计及施工过程将严格按照国家及行业有关标准、规范进行。在建成后，项目制定完善的安全管理、降低风险的规章制度，在管理、控制及监督、生产和维护方面有成熟的降低事故风险的经验和措施，项目环境风险在可防控范围内，项目环境风险影响较小。</w:t>
            </w:r>
          </w:p>
          <w:p>
            <w:pPr>
              <w:adjustRightInd w:val="0"/>
              <w:snapToGrid w:val="0"/>
              <w:spacing w:line="360" w:lineRule="auto"/>
              <w:ind w:firstLine="482" w:firstLineChars="200"/>
              <w:rPr>
                <w:rFonts w:ascii="Times New Roman" w:hAnsi="Times New Roman" w:eastAsia="宋体" w:cs="Times New Roman"/>
                <w:b/>
                <w:bCs/>
                <w:sz w:val="24"/>
              </w:rPr>
            </w:pPr>
            <w:r>
              <w:rPr>
                <w:rFonts w:ascii="Times New Roman" w:hAnsi="Times New Roman" w:eastAsia="宋体" w:cs="Times New Roman"/>
                <w:b/>
                <w:bCs/>
                <w:sz w:val="24"/>
              </w:rPr>
              <w:t>六、地下水、土壤环境影响分析</w:t>
            </w:r>
          </w:p>
          <w:p>
            <w:pPr>
              <w:pStyle w:val="43"/>
              <w:widowControl w:val="0"/>
              <w:ind w:firstLine="480"/>
              <w:jc w:val="both"/>
              <w:rPr>
                <w:sz w:val="24"/>
                <w:szCs w:val="24"/>
              </w:rPr>
            </w:pPr>
            <w:r>
              <w:rPr>
                <w:sz w:val="24"/>
                <w:szCs w:val="24"/>
              </w:rPr>
              <w:t>根据《环境影响评价技术导则·地下水环境》（HJ610-2016）及《一般工业固体废物贮存和填埋污染控制标准》（GB18599-2020），结合建设项目各区域的污染控制难易程度及污染物类型等，划分污染防治区。</w:t>
            </w:r>
          </w:p>
          <w:p>
            <w:pPr>
              <w:pStyle w:val="43"/>
              <w:widowControl w:val="0"/>
              <w:ind w:firstLine="480"/>
              <w:jc w:val="both"/>
              <w:rPr>
                <w:sz w:val="24"/>
                <w:szCs w:val="24"/>
              </w:rPr>
            </w:pPr>
            <w:r>
              <w:rPr>
                <w:sz w:val="24"/>
                <w:szCs w:val="24"/>
              </w:rPr>
              <w:t>本次环评将危废暂存间判定为重点防渗区，将其余厂区判定为一般防渗区。重点防渗区：危废暂存间采取重点防渗措施：单人工复合衬层系统（HDPE土工膜+粘土）：a15cm厚C25混凝土；b人工防渗衬层：采用HDPE土工膜时厚度不应小于1.5mm；c粘土衬层：渗透系数不应大于1.0×10</w:t>
            </w:r>
            <w:r>
              <w:rPr>
                <w:rFonts w:hint="eastAsia"/>
                <w:sz w:val="24"/>
                <w:szCs w:val="24"/>
              </w:rPr>
              <w:t>-</w:t>
            </w:r>
            <w:r>
              <w:rPr>
                <w:sz w:val="24"/>
                <w:szCs w:val="24"/>
                <w:vertAlign w:val="superscript"/>
              </w:rPr>
              <w:t>7</w:t>
            </w:r>
            <w:r>
              <w:rPr>
                <w:sz w:val="24"/>
                <w:szCs w:val="24"/>
              </w:rPr>
              <w:t>cm/s，厚度不宜小于75cm；d保护层：可采用非织造土工布、保护粘土层及粉末状尾矿；e地下水导排层（可选）：采用卵（砾）石等石料。f基础层：具有承载填埋堆体负荷的天然岩土层或经过地基处理的稳定岩土层。同时危废暂存间设置围堰，围堰高度视具体需要确定，需满足项目需求。</w:t>
            </w:r>
          </w:p>
          <w:p>
            <w:pPr>
              <w:adjustRightInd w:val="0"/>
              <w:snapToGrid w:val="0"/>
              <w:spacing w:line="360" w:lineRule="auto"/>
              <w:ind w:firstLine="480" w:firstLineChars="200"/>
              <w:rPr>
                <w:rFonts w:ascii="Times New Roman" w:hAnsi="Times New Roman" w:eastAsia="宋体" w:cs="Times New Roman"/>
                <w:sz w:val="24"/>
                <w:lang w:val="zh-CN"/>
              </w:rPr>
            </w:pPr>
            <w:r>
              <w:rPr>
                <w:rFonts w:ascii="Times New Roman" w:hAnsi="Times New Roman" w:eastAsia="宋体" w:cs="Times New Roman"/>
                <w:sz w:val="24"/>
              </w:rPr>
              <w:t>一般防渗区：</w:t>
            </w:r>
            <w:r>
              <w:rPr>
                <w:rFonts w:hint="eastAsia" w:ascii="Times New Roman" w:hAnsi="Times New Roman" w:eastAsia="宋体" w:cs="Times New Roman"/>
                <w:sz w:val="24"/>
              </w:rPr>
              <w:t>沉淀池及</w:t>
            </w:r>
            <w:r>
              <w:rPr>
                <w:rFonts w:ascii="Times New Roman" w:hAnsi="Times New Roman" w:eastAsia="宋体" w:cs="Times New Roman"/>
                <w:sz w:val="24"/>
              </w:rPr>
              <w:t>其余厂区采取一般防渗措施，推荐采用15cm厚C25混凝土，渗透系数≤10</w:t>
            </w:r>
            <w:r>
              <w:rPr>
                <w:rFonts w:hint="eastAsia" w:ascii="Times New Roman" w:hAnsi="Times New Roman" w:eastAsia="宋体" w:cs="Times New Roman"/>
                <w:sz w:val="24"/>
              </w:rPr>
              <w:t>-</w:t>
            </w:r>
            <w:r>
              <w:rPr>
                <w:rFonts w:ascii="Times New Roman" w:hAnsi="Times New Roman" w:eastAsia="宋体" w:cs="Times New Roman"/>
                <w:sz w:val="24"/>
                <w:vertAlign w:val="superscript"/>
              </w:rPr>
              <w:t>7</w:t>
            </w:r>
            <w:r>
              <w:rPr>
                <w:rFonts w:ascii="Times New Roman" w:hAnsi="Times New Roman" w:eastAsia="宋体" w:cs="Times New Roman"/>
                <w:sz w:val="24"/>
              </w:rPr>
              <w:t>cm/s。项目需做好防渗防漏措施，并定期做好地下水、土壤环境质量的跟踪监测计划。确保对周边地下水、土壤环境质量不造成影响。</w:t>
            </w:r>
          </w:p>
          <w:p>
            <w:pPr>
              <w:pStyle w:val="41"/>
              <w:adjustRightInd w:val="0"/>
              <w:snapToGrid w:val="0"/>
              <w:ind w:firstLine="482" w:firstLineChars="200"/>
              <w:jc w:val="both"/>
              <w:rPr>
                <w:rFonts w:ascii="Times New Roman" w:hAnsi="Times New Roman" w:cs="Times New Roman"/>
                <w:b/>
                <w:bCs/>
                <w:kern w:val="0"/>
                <w:sz w:val="24"/>
                <w:szCs w:val="24"/>
                <w:lang w:bidi="ar"/>
              </w:rPr>
            </w:pPr>
            <w:r>
              <w:rPr>
                <w:rFonts w:ascii="Times New Roman" w:hAnsi="Times New Roman" w:cs="Times New Roman"/>
                <w:b/>
                <w:bCs/>
                <w:kern w:val="0"/>
                <w:sz w:val="24"/>
                <w:szCs w:val="24"/>
                <w:lang w:bidi="ar"/>
              </w:rPr>
              <w:t>七、</w:t>
            </w:r>
            <w:r>
              <w:rPr>
                <w:rFonts w:hint="eastAsia" w:ascii="Times New Roman" w:hAnsi="Times New Roman" w:cs="Times New Roman"/>
                <w:b/>
                <w:bCs/>
                <w:kern w:val="0"/>
                <w:sz w:val="24"/>
                <w:szCs w:val="24"/>
                <w:lang w:bidi="ar"/>
              </w:rPr>
              <w:t>项目</w:t>
            </w:r>
            <w:r>
              <w:rPr>
                <w:rFonts w:hint="eastAsia"/>
                <w:b/>
                <w:bCs/>
                <w:sz w:val="24"/>
                <w:szCs w:val="24"/>
              </w:rPr>
              <w:t>运行对流域水文情势及河流生态环境影响分析</w:t>
            </w:r>
          </w:p>
          <w:p>
            <w:pPr>
              <w:pStyle w:val="41"/>
              <w:adjustRightInd w:val="0"/>
              <w:snapToGrid w:val="0"/>
              <w:ind w:firstLine="512" w:firstLineChars="200"/>
              <w:jc w:val="both"/>
              <w:rPr>
                <w:rFonts w:ascii="Times New Roman" w:hAnsi="Times New Roman" w:cs="Times New Roman"/>
                <w:spacing w:val="8"/>
                <w:sz w:val="24"/>
              </w:rPr>
            </w:pPr>
            <w:r>
              <w:rPr>
                <w:rFonts w:hint="eastAsia" w:ascii="Times New Roman" w:hAnsi="Times New Roman" w:cs="Times New Roman"/>
                <w:spacing w:val="8"/>
                <w:sz w:val="24"/>
              </w:rPr>
              <w:t>根据“</w:t>
            </w:r>
            <w:r>
              <w:rPr>
                <w:rFonts w:ascii="Times New Roman" w:hAnsi="Times New Roman" w:cs="Times New Roman"/>
                <w:spacing w:val="8"/>
                <w:sz w:val="24"/>
              </w:rPr>
              <w:t>云县水务局关于《云县发展和改革局关于云县山河洗沙建设项目征求意见的函》的复函</w:t>
            </w:r>
            <w:r>
              <w:rPr>
                <w:rFonts w:hint="eastAsia" w:ascii="Times New Roman" w:hAnsi="Times New Roman" w:cs="Times New Roman"/>
                <w:spacing w:val="8"/>
                <w:sz w:val="24"/>
              </w:rPr>
              <w:t>中表明：“</w:t>
            </w:r>
            <w:r>
              <w:rPr>
                <w:rFonts w:ascii="Times New Roman" w:hAnsi="Times New Roman" w:cs="Times New Roman"/>
                <w:spacing w:val="8"/>
                <w:sz w:val="24"/>
              </w:rPr>
              <w:t>经核实，项目所选地块上部靠近河湾村委会吊树根，下部与北河相邻，从卫星地图上看没有占用河道管理范围</w:t>
            </w:r>
            <w:r>
              <w:rPr>
                <w:rFonts w:hint="eastAsia" w:ascii="Times New Roman" w:hAnsi="Times New Roman" w:cs="Times New Roman"/>
                <w:spacing w:val="8"/>
                <w:sz w:val="24"/>
              </w:rPr>
              <w:t>（</w:t>
            </w:r>
            <w:r>
              <w:rPr>
                <w:rFonts w:ascii="Times New Roman" w:hAnsi="Times New Roman" w:cs="Times New Roman"/>
                <w:spacing w:val="8"/>
                <w:sz w:val="24"/>
              </w:rPr>
              <w:t>管理范围线从河堤排水沟起算向外量10米</w:t>
            </w:r>
            <w:r>
              <w:rPr>
                <w:rFonts w:hint="eastAsia" w:ascii="Times New Roman" w:hAnsi="Times New Roman" w:cs="Times New Roman"/>
                <w:spacing w:val="8"/>
                <w:sz w:val="24"/>
              </w:rPr>
              <w:t>），</w:t>
            </w:r>
            <w:r>
              <w:rPr>
                <w:rFonts w:ascii="Times New Roman" w:hAnsi="Times New Roman" w:cs="Times New Roman"/>
                <w:spacing w:val="8"/>
                <w:sz w:val="24"/>
              </w:rPr>
              <w:t>因此原则同意向发改部门申请立项。</w:t>
            </w:r>
            <w:r>
              <w:rPr>
                <w:rFonts w:hint="eastAsia" w:ascii="Times New Roman" w:hAnsi="Times New Roman" w:cs="Times New Roman"/>
                <w:spacing w:val="8"/>
                <w:sz w:val="24"/>
              </w:rPr>
              <w:t>”本项目不占用河道范围，且本项目废水不外排，本项目建设不会对北桥河水温、流速、水质等水文情势造成影响，故本项目建设对北桥河水文情势影响较小。</w:t>
            </w:r>
          </w:p>
          <w:p>
            <w:pPr>
              <w:pStyle w:val="41"/>
              <w:adjustRightInd w:val="0"/>
              <w:snapToGrid w:val="0"/>
              <w:ind w:firstLine="512" w:firstLineChars="200"/>
              <w:jc w:val="both"/>
              <w:rPr>
                <w:rFonts w:ascii="Times New Roman" w:hAnsi="Times New Roman" w:cs="Times New Roman"/>
                <w:spacing w:val="8"/>
                <w:sz w:val="24"/>
                <w:highlight w:val="yellow"/>
              </w:rPr>
            </w:pPr>
            <w:r>
              <w:rPr>
                <w:rFonts w:hint="eastAsia" w:ascii="Times New Roman" w:hAnsi="Times New Roman" w:cs="Times New Roman"/>
                <w:spacing w:val="8"/>
                <w:sz w:val="24"/>
                <w:highlight w:val="yellow"/>
              </w:rPr>
              <w:t>本项目直接在北桥河取水用于生产，北桥河多年平均流量为11.4m</w:t>
            </w:r>
            <w:r>
              <w:rPr>
                <w:rFonts w:hint="eastAsia" w:ascii="Times New Roman" w:hAnsi="Times New Roman" w:cs="Times New Roman"/>
                <w:spacing w:val="8"/>
                <w:sz w:val="24"/>
                <w:highlight w:val="yellow"/>
                <w:vertAlign w:val="superscript"/>
              </w:rPr>
              <w:t>3</w:t>
            </w:r>
            <w:r>
              <w:rPr>
                <w:rFonts w:hint="eastAsia" w:ascii="Times New Roman" w:hAnsi="Times New Roman" w:cs="Times New Roman"/>
                <w:spacing w:val="8"/>
                <w:sz w:val="24"/>
                <w:highlight w:val="yellow"/>
              </w:rPr>
              <w:t>/s，本项目生产取水量为2296m</w:t>
            </w:r>
            <w:r>
              <w:rPr>
                <w:rFonts w:hint="eastAsia" w:ascii="Times New Roman" w:hAnsi="Times New Roman" w:cs="Times New Roman"/>
                <w:spacing w:val="8"/>
                <w:sz w:val="24"/>
                <w:highlight w:val="yellow"/>
                <w:vertAlign w:val="superscript"/>
              </w:rPr>
              <w:t>3</w:t>
            </w:r>
            <w:r>
              <w:rPr>
                <w:rFonts w:hint="eastAsia" w:ascii="Times New Roman" w:hAnsi="Times New Roman" w:cs="Times New Roman"/>
                <w:spacing w:val="8"/>
                <w:sz w:val="24"/>
                <w:highlight w:val="yellow"/>
              </w:rPr>
              <w:t>/d，取水流速约为0.08m</w:t>
            </w:r>
            <w:r>
              <w:rPr>
                <w:rFonts w:hint="eastAsia" w:ascii="Times New Roman" w:hAnsi="Times New Roman" w:cs="Times New Roman"/>
                <w:spacing w:val="8"/>
                <w:sz w:val="24"/>
                <w:highlight w:val="yellow"/>
                <w:vertAlign w:val="superscript"/>
              </w:rPr>
              <w:t>3</w:t>
            </w:r>
            <w:r>
              <w:rPr>
                <w:rFonts w:hint="eastAsia" w:ascii="Times New Roman" w:hAnsi="Times New Roman" w:cs="Times New Roman"/>
                <w:spacing w:val="8"/>
                <w:sz w:val="24"/>
                <w:highlight w:val="yellow"/>
              </w:rPr>
              <w:t>/s，占平均流量的0.7%。综上，本项目区取水对北桥河影响较小，对北桥河的生态影响较小。</w:t>
            </w:r>
          </w:p>
          <w:p>
            <w:pPr>
              <w:pStyle w:val="41"/>
              <w:adjustRightInd w:val="0"/>
              <w:snapToGrid w:val="0"/>
              <w:ind w:firstLine="482" w:firstLineChars="200"/>
              <w:jc w:val="both"/>
              <w:rPr>
                <w:rFonts w:ascii="Times New Roman" w:hAnsi="Times New Roman" w:cs="Times New Roman"/>
                <w:b/>
                <w:bCs/>
                <w:kern w:val="0"/>
                <w:sz w:val="24"/>
                <w:szCs w:val="24"/>
                <w:lang w:bidi="ar"/>
              </w:rPr>
            </w:pPr>
            <w:r>
              <w:rPr>
                <w:rFonts w:hint="eastAsia" w:ascii="Times New Roman" w:hAnsi="Times New Roman" w:cs="Times New Roman"/>
                <w:b/>
                <w:bCs/>
                <w:kern w:val="0"/>
                <w:sz w:val="24"/>
                <w:szCs w:val="24"/>
                <w:lang w:bidi="ar"/>
              </w:rPr>
              <w:t>八</w:t>
            </w:r>
            <w:r>
              <w:rPr>
                <w:rFonts w:ascii="Times New Roman" w:hAnsi="Times New Roman" w:cs="Times New Roman"/>
                <w:b/>
                <w:bCs/>
                <w:kern w:val="0"/>
                <w:sz w:val="24"/>
                <w:szCs w:val="24"/>
                <w:lang w:bidi="ar"/>
              </w:rPr>
              <w:t>、</w:t>
            </w:r>
            <w:r>
              <w:rPr>
                <w:rFonts w:hint="eastAsia" w:ascii="Times New Roman" w:hAnsi="Times New Roman" w:cs="Times New Roman"/>
                <w:b/>
                <w:bCs/>
                <w:kern w:val="0"/>
                <w:sz w:val="24"/>
                <w:szCs w:val="24"/>
                <w:lang w:bidi="ar"/>
              </w:rPr>
              <w:t>项目运行对水土保持影响分析</w:t>
            </w:r>
          </w:p>
          <w:p>
            <w:pPr>
              <w:pStyle w:val="41"/>
              <w:adjustRightInd w:val="0"/>
              <w:snapToGrid w:val="0"/>
              <w:ind w:firstLine="512" w:firstLineChars="200"/>
              <w:jc w:val="both"/>
              <w:rPr>
                <w:rFonts w:ascii="Times New Roman" w:hAnsi="Times New Roman" w:cs="Times New Roman"/>
                <w:spacing w:val="8"/>
                <w:sz w:val="24"/>
              </w:rPr>
            </w:pPr>
            <w:r>
              <w:rPr>
                <w:rFonts w:hint="eastAsia" w:ascii="Times New Roman" w:hAnsi="Times New Roman" w:cs="Times New Roman"/>
                <w:spacing w:val="8"/>
                <w:sz w:val="24"/>
              </w:rPr>
              <w:t>项目距离北桥河较近，为降低本项目建设及运行造成水土流失影响，本次环评要求，项目在北桥河一侧修建拦挡措施，北桥河一侧减少堆存量，避免堆存量过高，受雨水冲刷，造成水土流失。根据与业主核实，本项目水土保持方案正在委托第三方机构编制中，后期运行及管理过程中，水土保持措施以</w:t>
            </w:r>
            <w:r>
              <w:rPr>
                <w:rFonts w:ascii="Times New Roman" w:hAnsi="Times New Roman" w:cs="Times New Roman"/>
                <w:sz w:val="24"/>
                <w:szCs w:val="24"/>
              </w:rPr>
              <w:t>《水土保持方案初步设计报告书》</w:t>
            </w:r>
            <w:r>
              <w:rPr>
                <w:rFonts w:hint="eastAsia" w:ascii="Times New Roman" w:hAnsi="Times New Roman" w:cs="Times New Roman"/>
                <w:spacing w:val="8"/>
                <w:sz w:val="24"/>
              </w:rPr>
              <w:t>为主。</w:t>
            </w:r>
          </w:p>
          <w:p>
            <w:pPr>
              <w:pStyle w:val="41"/>
              <w:adjustRightInd w:val="0"/>
              <w:snapToGrid w:val="0"/>
              <w:ind w:firstLine="482" w:firstLineChars="200"/>
              <w:jc w:val="both"/>
              <w:rPr>
                <w:rFonts w:ascii="Times New Roman" w:hAnsi="Times New Roman" w:cs="Times New Roman"/>
                <w:b/>
                <w:bCs/>
                <w:kern w:val="0"/>
                <w:sz w:val="24"/>
                <w:szCs w:val="24"/>
                <w:lang w:bidi="ar"/>
              </w:rPr>
            </w:pPr>
            <w:r>
              <w:rPr>
                <w:rFonts w:hint="eastAsia" w:ascii="Times New Roman" w:hAnsi="Times New Roman" w:cs="Times New Roman"/>
                <w:b/>
                <w:bCs/>
                <w:kern w:val="0"/>
                <w:sz w:val="24"/>
                <w:szCs w:val="24"/>
                <w:lang w:bidi="ar"/>
              </w:rPr>
              <w:t>九</w:t>
            </w:r>
            <w:r>
              <w:rPr>
                <w:rFonts w:ascii="Times New Roman" w:hAnsi="Times New Roman" w:cs="Times New Roman"/>
                <w:b/>
                <w:bCs/>
                <w:kern w:val="0"/>
                <w:sz w:val="24"/>
                <w:szCs w:val="24"/>
                <w:lang w:bidi="ar"/>
              </w:rPr>
              <w:t>、项目环保投资</w:t>
            </w:r>
          </w:p>
          <w:p>
            <w:pPr>
              <w:keepNext/>
              <w:adjustRightInd w:val="0"/>
              <w:snapToGrid w:val="0"/>
              <w:spacing w:line="360" w:lineRule="auto"/>
              <w:ind w:firstLine="480" w:firstLineChars="200"/>
              <w:outlineLvl w:val="1"/>
              <w:rPr>
                <w:rFonts w:ascii="Times New Roman" w:hAnsi="Times New Roman" w:eastAsia="宋体" w:cs="Times New Roman"/>
                <w:b/>
                <w:bCs/>
                <w:sz w:val="24"/>
              </w:rPr>
            </w:pPr>
            <w:r>
              <w:rPr>
                <w:rFonts w:ascii="Times New Roman" w:hAnsi="Times New Roman" w:eastAsia="宋体" w:cs="Times New Roman"/>
                <w:bCs/>
                <w:sz w:val="24"/>
              </w:rPr>
              <w:t>项目总投资</w:t>
            </w:r>
            <w:r>
              <w:rPr>
                <w:rFonts w:hint="eastAsia" w:ascii="Times New Roman" w:hAnsi="Times New Roman" w:eastAsia="宋体" w:cs="Times New Roman"/>
                <w:bCs/>
                <w:sz w:val="24"/>
              </w:rPr>
              <w:t>1000</w:t>
            </w:r>
            <w:r>
              <w:rPr>
                <w:rFonts w:ascii="Times New Roman" w:hAnsi="Times New Roman" w:eastAsia="宋体" w:cs="Times New Roman"/>
                <w:bCs/>
                <w:sz w:val="24"/>
              </w:rPr>
              <w:t>万元，其中环保投资</w:t>
            </w:r>
            <w:r>
              <w:rPr>
                <w:rFonts w:hint="eastAsia" w:ascii="Times New Roman" w:hAnsi="Times New Roman" w:eastAsia="宋体" w:cs="Times New Roman"/>
                <w:bCs/>
                <w:sz w:val="24"/>
              </w:rPr>
              <w:t>137.4</w:t>
            </w:r>
            <w:r>
              <w:rPr>
                <w:rFonts w:ascii="Times New Roman" w:hAnsi="Times New Roman" w:eastAsia="宋体" w:cs="Times New Roman"/>
                <w:bCs/>
                <w:sz w:val="24"/>
              </w:rPr>
              <w:t>万元，占项目总投资的</w:t>
            </w:r>
            <w:r>
              <w:rPr>
                <w:rFonts w:hint="eastAsia" w:ascii="Times New Roman" w:hAnsi="Times New Roman" w:eastAsia="宋体" w:cs="Times New Roman"/>
                <w:bCs/>
                <w:sz w:val="24"/>
              </w:rPr>
              <w:t>13.74</w:t>
            </w:r>
            <w:r>
              <w:rPr>
                <w:rFonts w:ascii="Times New Roman" w:hAnsi="Times New Roman" w:eastAsia="宋体" w:cs="Times New Roman"/>
                <w:bCs/>
                <w:sz w:val="24"/>
              </w:rPr>
              <w:t>%。本项目环保投资估算明细见表4-</w:t>
            </w:r>
            <w:r>
              <w:rPr>
                <w:rFonts w:hint="eastAsia" w:ascii="Times New Roman" w:hAnsi="Times New Roman" w:eastAsia="宋体" w:cs="Times New Roman"/>
                <w:bCs/>
                <w:sz w:val="24"/>
              </w:rPr>
              <w:t>20</w:t>
            </w:r>
            <w:r>
              <w:rPr>
                <w:rFonts w:ascii="Times New Roman" w:hAnsi="Times New Roman" w:eastAsia="宋体" w:cs="Times New Roman"/>
                <w:bCs/>
                <w:sz w:val="24"/>
              </w:rPr>
              <w:t>。</w:t>
            </w:r>
          </w:p>
          <w:p>
            <w:pPr>
              <w:autoSpaceDE w:val="0"/>
              <w:autoSpaceDN w:val="0"/>
              <w:adjustRightInd w:val="0"/>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表4-</w:t>
            </w:r>
            <w:r>
              <w:rPr>
                <w:rFonts w:hint="eastAsia" w:ascii="Times New Roman" w:hAnsi="Times New Roman" w:eastAsia="宋体" w:cs="Times New Roman"/>
                <w:b/>
                <w:bCs/>
                <w:szCs w:val="21"/>
              </w:rPr>
              <w:t>20</w:t>
            </w:r>
            <w:r>
              <w:rPr>
                <w:rFonts w:ascii="Times New Roman" w:hAnsi="Times New Roman" w:eastAsia="宋体" w:cs="Times New Roman"/>
                <w:b/>
                <w:bCs/>
                <w:szCs w:val="21"/>
              </w:rPr>
              <w:t xml:space="preserve"> 项目环保投资一览表</w:t>
            </w:r>
          </w:p>
          <w:tbl>
            <w:tblPr>
              <w:tblStyle w:val="30"/>
              <w:tblW w:w="494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18"/>
              <w:gridCol w:w="2470"/>
              <w:gridCol w:w="2386"/>
              <w:gridCol w:w="146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751" w:type="pct"/>
                  <w:tcBorders>
                    <w:left w:val="single" w:color="auto" w:sz="0" w:space="0"/>
                  </w:tcBorders>
                  <w:vAlign w:val="center"/>
                </w:tcPr>
                <w:p>
                  <w:pPr>
                    <w:adjustRightInd w:val="0"/>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污染类别</w:t>
                  </w:r>
                </w:p>
              </w:tc>
              <w:tc>
                <w:tcPr>
                  <w:tcW w:w="1660" w:type="pct"/>
                  <w:vAlign w:val="center"/>
                </w:tcPr>
                <w:p>
                  <w:pPr>
                    <w:adjustRightInd w:val="0"/>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环保内容</w:t>
                  </w:r>
                </w:p>
              </w:tc>
              <w:tc>
                <w:tcPr>
                  <w:tcW w:w="1603" w:type="pct"/>
                  <w:vAlign w:val="center"/>
                </w:tcPr>
                <w:p>
                  <w:pPr>
                    <w:adjustRightInd w:val="0"/>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规模</w:t>
                  </w:r>
                </w:p>
              </w:tc>
              <w:tc>
                <w:tcPr>
                  <w:tcW w:w="985" w:type="pct"/>
                  <w:tcBorders>
                    <w:right w:val="single" w:color="auto" w:sz="4" w:space="0"/>
                  </w:tcBorders>
                  <w:vAlign w:val="center"/>
                </w:tcPr>
                <w:p>
                  <w:pPr>
                    <w:adjustRightInd w:val="0"/>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投资额（万元）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5000" w:type="pct"/>
                  <w:gridSpan w:val="4"/>
                  <w:tcBorders>
                    <w:left w:val="single" w:color="auto" w:sz="0" w:space="0"/>
                    <w:right w:val="single" w:color="auto" w:sz="4" w:space="0"/>
                  </w:tcBorders>
                  <w:vAlign w:val="center"/>
                </w:tcPr>
                <w:p>
                  <w:pPr>
                    <w:adjustRightInd w:val="0"/>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一、施工期</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751" w:type="pct"/>
                  <w:tcBorders>
                    <w:left w:val="single" w:color="auto" w:sz="0" w:space="0"/>
                  </w:tcBorders>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废水</w:t>
                  </w:r>
                </w:p>
              </w:tc>
              <w:tc>
                <w:tcPr>
                  <w:tcW w:w="1660" w:type="pct"/>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沉淀池</w:t>
                  </w:r>
                </w:p>
              </w:tc>
              <w:tc>
                <w:tcPr>
                  <w:tcW w:w="1603" w:type="pct"/>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w:t>
                  </w:r>
                </w:p>
              </w:tc>
              <w:tc>
                <w:tcPr>
                  <w:tcW w:w="985" w:type="pct"/>
                  <w:tcBorders>
                    <w:right w:val="single" w:color="auto" w:sz="4" w:space="0"/>
                  </w:tcBorders>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751" w:type="pct"/>
                  <w:tcBorders>
                    <w:left w:val="single" w:color="auto" w:sz="0" w:space="0"/>
                  </w:tcBorders>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废气</w:t>
                  </w:r>
                </w:p>
              </w:tc>
              <w:tc>
                <w:tcPr>
                  <w:tcW w:w="1660" w:type="pct"/>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kern w:val="0"/>
                      <w:szCs w:val="21"/>
                    </w:rPr>
                    <w:t>洒水降尘</w:t>
                  </w:r>
                </w:p>
              </w:tc>
              <w:tc>
                <w:tcPr>
                  <w:tcW w:w="1603" w:type="pct"/>
                  <w:vAlign w:val="center"/>
                </w:tcPr>
                <w:p>
                  <w:pPr>
                    <w:autoSpaceDE w:val="0"/>
                    <w:autoSpaceDN w:val="0"/>
                    <w:adjustRightInd w:val="0"/>
                    <w:snapToGrid w:val="0"/>
                    <w:jc w:val="center"/>
                    <w:rPr>
                      <w:rFonts w:ascii="Times New Roman" w:hAnsi="Times New Roman" w:eastAsia="宋体" w:cs="Times New Roman"/>
                      <w:szCs w:val="21"/>
                    </w:rPr>
                  </w:pPr>
                  <w:r>
                    <w:rPr>
                      <w:rFonts w:ascii="Times New Roman" w:hAnsi="Times New Roman" w:eastAsia="宋体" w:cs="Times New Roman"/>
                      <w:kern w:val="0"/>
                      <w:szCs w:val="21"/>
                    </w:rPr>
                    <w:t>扬尘</w:t>
                  </w:r>
                </w:p>
              </w:tc>
              <w:tc>
                <w:tcPr>
                  <w:tcW w:w="985" w:type="pct"/>
                  <w:tcBorders>
                    <w:right w:val="single" w:color="auto" w:sz="4" w:space="0"/>
                  </w:tcBorders>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0.5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751" w:type="pct"/>
                  <w:tcBorders>
                    <w:left w:val="single" w:color="auto" w:sz="0" w:space="0"/>
                  </w:tcBorders>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固废</w:t>
                  </w:r>
                </w:p>
              </w:tc>
              <w:tc>
                <w:tcPr>
                  <w:tcW w:w="1660" w:type="pct"/>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kern w:val="0"/>
                      <w:szCs w:val="21"/>
                    </w:rPr>
                    <w:t>固废清运</w:t>
                  </w:r>
                </w:p>
              </w:tc>
              <w:tc>
                <w:tcPr>
                  <w:tcW w:w="1603" w:type="pct"/>
                  <w:vAlign w:val="center"/>
                </w:tcPr>
                <w:p>
                  <w:pPr>
                    <w:autoSpaceDE w:val="0"/>
                    <w:autoSpaceDN w:val="0"/>
                    <w:adjustRightInd w:val="0"/>
                    <w:snapToGrid w:val="0"/>
                    <w:jc w:val="center"/>
                    <w:rPr>
                      <w:rFonts w:ascii="Times New Roman" w:hAnsi="Times New Roman" w:eastAsia="宋体" w:cs="Times New Roman"/>
                      <w:szCs w:val="21"/>
                    </w:rPr>
                  </w:pPr>
                  <w:r>
                    <w:rPr>
                      <w:rFonts w:ascii="Times New Roman" w:hAnsi="Times New Roman" w:eastAsia="宋体" w:cs="Times New Roman"/>
                      <w:kern w:val="0"/>
                      <w:szCs w:val="21"/>
                    </w:rPr>
                    <w:t>建筑垃圾、生活垃圾清运</w:t>
                  </w:r>
                </w:p>
              </w:tc>
              <w:tc>
                <w:tcPr>
                  <w:tcW w:w="985" w:type="pct"/>
                  <w:tcBorders>
                    <w:right w:val="single" w:color="auto" w:sz="4" w:space="0"/>
                  </w:tcBorders>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751" w:type="pct"/>
                  <w:tcBorders>
                    <w:left w:val="single" w:color="auto" w:sz="0" w:space="0"/>
                  </w:tcBorders>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噪声</w:t>
                  </w:r>
                </w:p>
              </w:tc>
              <w:tc>
                <w:tcPr>
                  <w:tcW w:w="1660" w:type="pct"/>
                  <w:vAlign w:val="center"/>
                </w:tcPr>
                <w:p>
                  <w:pPr>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厂房隔音、设备减震</w:t>
                  </w:r>
                </w:p>
              </w:tc>
              <w:tc>
                <w:tcPr>
                  <w:tcW w:w="1603" w:type="pct"/>
                  <w:vAlign w:val="center"/>
                </w:tcPr>
                <w:p>
                  <w:pPr>
                    <w:autoSpaceDE w:val="0"/>
                    <w:autoSpaceDN w:val="0"/>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w:t>
                  </w:r>
                </w:p>
              </w:tc>
              <w:tc>
                <w:tcPr>
                  <w:tcW w:w="985" w:type="pct"/>
                  <w:tcBorders>
                    <w:right w:val="single" w:color="auto" w:sz="4" w:space="0"/>
                  </w:tcBorders>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0.5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5000" w:type="pct"/>
                  <w:gridSpan w:val="4"/>
                  <w:tcBorders>
                    <w:left w:val="single" w:color="auto" w:sz="4" w:space="0"/>
                    <w:right w:val="single" w:color="auto" w:sz="4" w:space="0"/>
                  </w:tcBorders>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b/>
                      <w:bCs/>
                      <w:szCs w:val="21"/>
                    </w:rPr>
                    <w:t>二、运营期</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751" w:type="pct"/>
                  <w:vMerge w:val="restart"/>
                  <w:tcBorders>
                    <w:left w:val="single" w:color="auto" w:sz="4" w:space="0"/>
                  </w:tcBorders>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废水</w:t>
                  </w:r>
                </w:p>
              </w:tc>
              <w:tc>
                <w:tcPr>
                  <w:tcW w:w="1660" w:type="pct"/>
                  <w:vAlign w:val="center"/>
                </w:tcPr>
                <w:p>
                  <w:pPr>
                    <w:pStyle w:val="76"/>
                    <w:widowControl w:val="0"/>
                    <w:jc w:val="center"/>
                    <w:rPr>
                      <w:rFonts w:ascii="Times New Roman" w:hAnsi="Times New Roman"/>
                      <w:sz w:val="21"/>
                      <w:szCs w:val="21"/>
                    </w:rPr>
                  </w:pPr>
                  <w:r>
                    <w:rPr>
                      <w:rFonts w:hint="eastAsia" w:ascii="Times New Roman" w:hAnsi="Times New Roman"/>
                      <w:sz w:val="21"/>
                      <w:szCs w:val="21"/>
                    </w:rPr>
                    <w:t>三级沉淀池</w:t>
                  </w:r>
                </w:p>
              </w:tc>
              <w:tc>
                <w:tcPr>
                  <w:tcW w:w="1603" w:type="pct"/>
                  <w:vAlign w:val="center"/>
                </w:tcPr>
                <w:p>
                  <w:pPr>
                    <w:pStyle w:val="76"/>
                    <w:widowControl w:val="0"/>
                    <w:jc w:val="both"/>
                    <w:rPr>
                      <w:rFonts w:ascii="Times New Roman" w:hAnsi="Times New Roman"/>
                      <w:sz w:val="21"/>
                      <w:szCs w:val="21"/>
                    </w:rPr>
                  </w:pPr>
                  <w:r>
                    <w:rPr>
                      <w:rFonts w:hint="eastAsia"/>
                      <w:spacing w:val="7"/>
                      <w:sz w:val="21"/>
                      <w:szCs w:val="21"/>
                    </w:rPr>
                    <w:t>1</w:t>
                  </w:r>
                  <w:r>
                    <w:rPr>
                      <w:spacing w:val="7"/>
                      <w:sz w:val="21"/>
                      <w:szCs w:val="21"/>
                    </w:rPr>
                    <w:t>个，容积</w:t>
                  </w:r>
                  <w:r>
                    <w:rPr>
                      <w:rFonts w:hint="eastAsia" w:ascii="Times New Roman" w:hAnsi="Times New Roman"/>
                      <w:spacing w:val="7"/>
                      <w:sz w:val="21"/>
                      <w:szCs w:val="21"/>
                    </w:rPr>
                    <w:t>1500</w:t>
                  </w:r>
                  <w:r>
                    <w:rPr>
                      <w:rFonts w:ascii="Times New Roman" w:hAnsi="Times New Roman" w:eastAsia="Times New Roman"/>
                      <w:spacing w:val="7"/>
                      <w:sz w:val="21"/>
                      <w:szCs w:val="21"/>
                    </w:rPr>
                    <w:t>m</w:t>
                  </w:r>
                  <w:r>
                    <w:rPr>
                      <w:rFonts w:hint="eastAsia" w:ascii="Times New Roman" w:hAnsi="Times New Roman"/>
                      <w:spacing w:val="7"/>
                      <w:sz w:val="21"/>
                      <w:szCs w:val="21"/>
                      <w:vertAlign w:val="superscript"/>
                    </w:rPr>
                    <w:t>3</w:t>
                  </w:r>
                  <w:r>
                    <w:rPr>
                      <w:rFonts w:ascii="Times New Roman" w:hAnsi="Times New Roman" w:eastAsia="Times New Roman"/>
                      <w:spacing w:val="7"/>
                      <w:sz w:val="21"/>
                      <w:szCs w:val="21"/>
                    </w:rPr>
                    <w:t>/</w:t>
                  </w:r>
                  <w:r>
                    <w:rPr>
                      <w:spacing w:val="7"/>
                      <w:sz w:val="21"/>
                      <w:szCs w:val="21"/>
                    </w:rPr>
                    <w:t>个，用于处理生</w:t>
                  </w:r>
                  <w:r>
                    <w:rPr>
                      <w:spacing w:val="6"/>
                      <w:sz w:val="21"/>
                      <w:szCs w:val="21"/>
                    </w:rPr>
                    <w:t>产废水。</w:t>
                  </w:r>
                </w:p>
              </w:tc>
              <w:tc>
                <w:tcPr>
                  <w:tcW w:w="985" w:type="pct"/>
                  <w:tcBorders>
                    <w:right w:val="single" w:color="auto" w:sz="4" w:space="0"/>
                  </w:tcBorders>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50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751" w:type="pct"/>
                  <w:vMerge w:val="continue"/>
                  <w:tcBorders>
                    <w:left w:val="single" w:color="auto" w:sz="4" w:space="0"/>
                  </w:tcBorders>
                  <w:vAlign w:val="center"/>
                </w:tcPr>
                <w:p>
                  <w:pPr>
                    <w:adjustRightInd w:val="0"/>
                    <w:snapToGrid w:val="0"/>
                    <w:jc w:val="center"/>
                    <w:rPr>
                      <w:rFonts w:ascii="Times New Roman" w:hAnsi="Times New Roman" w:eastAsia="宋体" w:cs="Times New Roman"/>
                      <w:szCs w:val="21"/>
                    </w:rPr>
                  </w:pPr>
                </w:p>
              </w:tc>
              <w:tc>
                <w:tcPr>
                  <w:tcW w:w="1660" w:type="pct"/>
                  <w:vAlign w:val="center"/>
                </w:tcPr>
                <w:p>
                  <w:pPr>
                    <w:pStyle w:val="76"/>
                    <w:widowControl w:val="0"/>
                    <w:jc w:val="center"/>
                    <w:rPr>
                      <w:rFonts w:ascii="Times New Roman" w:hAnsi="Times New Roman"/>
                      <w:sz w:val="21"/>
                      <w:szCs w:val="21"/>
                    </w:rPr>
                  </w:pPr>
                  <w:r>
                    <w:rPr>
                      <w:rFonts w:hint="eastAsia" w:ascii="Times New Roman" w:hAnsi="Times New Roman"/>
                      <w:sz w:val="21"/>
                      <w:szCs w:val="21"/>
                    </w:rPr>
                    <w:t>初期雨水收集池</w:t>
                  </w:r>
                </w:p>
              </w:tc>
              <w:tc>
                <w:tcPr>
                  <w:tcW w:w="1603" w:type="pct"/>
                  <w:vAlign w:val="center"/>
                </w:tcPr>
                <w:p>
                  <w:pPr>
                    <w:pStyle w:val="76"/>
                    <w:widowControl w:val="0"/>
                    <w:jc w:val="both"/>
                    <w:rPr>
                      <w:rFonts w:ascii="Times New Roman" w:hAnsi="Times New Roman"/>
                      <w:sz w:val="21"/>
                      <w:szCs w:val="21"/>
                    </w:rPr>
                  </w:pPr>
                  <w:r>
                    <w:rPr>
                      <w:rFonts w:ascii="Times New Roman" w:hAnsi="Times New Roman" w:eastAsia="Times New Roman"/>
                      <w:spacing w:val="5"/>
                      <w:sz w:val="21"/>
                      <w:szCs w:val="21"/>
                    </w:rPr>
                    <w:t>1</w:t>
                  </w:r>
                  <w:r>
                    <w:rPr>
                      <w:spacing w:val="5"/>
                      <w:sz w:val="21"/>
                      <w:szCs w:val="21"/>
                    </w:rPr>
                    <w:t>座，容积</w:t>
                  </w:r>
                  <w:r>
                    <w:rPr>
                      <w:rFonts w:hint="eastAsia" w:ascii="Times New Roman" w:hAnsi="Times New Roman"/>
                      <w:spacing w:val="5"/>
                      <w:sz w:val="21"/>
                      <w:szCs w:val="21"/>
                    </w:rPr>
                    <w:t>100m</w:t>
                  </w:r>
                  <w:r>
                    <w:rPr>
                      <w:rFonts w:hint="eastAsia" w:ascii="Times New Roman" w:hAnsi="Times New Roman"/>
                      <w:spacing w:val="5"/>
                      <w:sz w:val="21"/>
                      <w:szCs w:val="21"/>
                      <w:vertAlign w:val="superscript"/>
                    </w:rPr>
                    <w:t>3</w:t>
                  </w:r>
                  <w:r>
                    <w:rPr>
                      <w:spacing w:val="5"/>
                      <w:sz w:val="21"/>
                      <w:szCs w:val="21"/>
                    </w:rPr>
                    <w:t>，位于厂区</w:t>
                  </w:r>
                  <w:r>
                    <w:rPr>
                      <w:rFonts w:hint="eastAsia"/>
                      <w:spacing w:val="5"/>
                      <w:sz w:val="21"/>
                      <w:szCs w:val="21"/>
                    </w:rPr>
                    <w:t>南</w:t>
                  </w:r>
                  <w:r>
                    <w:rPr>
                      <w:spacing w:val="5"/>
                      <w:sz w:val="21"/>
                      <w:szCs w:val="21"/>
                    </w:rPr>
                    <w:t>侧地势较低处，用</w:t>
                  </w:r>
                  <w:r>
                    <w:rPr>
                      <w:spacing w:val="8"/>
                      <w:sz w:val="21"/>
                      <w:szCs w:val="21"/>
                    </w:rPr>
                    <w:t>于收集初期雨水，沉淀后回用于生产。</w:t>
                  </w:r>
                </w:p>
              </w:tc>
              <w:tc>
                <w:tcPr>
                  <w:tcW w:w="985" w:type="pct"/>
                  <w:tcBorders>
                    <w:right w:val="single" w:color="auto" w:sz="4" w:space="0"/>
                  </w:tcBorders>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10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751" w:type="pct"/>
                  <w:vMerge w:val="continue"/>
                  <w:tcBorders>
                    <w:left w:val="single" w:color="auto" w:sz="4" w:space="0"/>
                  </w:tcBorders>
                  <w:vAlign w:val="center"/>
                </w:tcPr>
                <w:p>
                  <w:pPr>
                    <w:adjustRightInd w:val="0"/>
                    <w:snapToGrid w:val="0"/>
                    <w:jc w:val="center"/>
                    <w:rPr>
                      <w:rFonts w:ascii="Times New Roman" w:hAnsi="Times New Roman" w:eastAsia="宋体" w:cs="Times New Roman"/>
                      <w:szCs w:val="21"/>
                    </w:rPr>
                  </w:pPr>
                </w:p>
              </w:tc>
              <w:tc>
                <w:tcPr>
                  <w:tcW w:w="1660" w:type="pct"/>
                  <w:vAlign w:val="center"/>
                </w:tcPr>
                <w:p>
                  <w:pPr>
                    <w:pStyle w:val="76"/>
                    <w:widowControl w:val="0"/>
                    <w:jc w:val="center"/>
                    <w:rPr>
                      <w:rFonts w:ascii="Times New Roman" w:hAnsi="Times New Roman"/>
                      <w:sz w:val="21"/>
                      <w:szCs w:val="21"/>
                    </w:rPr>
                  </w:pPr>
                  <w:r>
                    <w:rPr>
                      <w:rFonts w:hint="eastAsia" w:ascii="Times New Roman" w:hAnsi="Times New Roman"/>
                      <w:sz w:val="21"/>
                      <w:szCs w:val="21"/>
                    </w:rPr>
                    <w:t>事故应急池</w:t>
                  </w:r>
                </w:p>
              </w:tc>
              <w:tc>
                <w:tcPr>
                  <w:tcW w:w="1603" w:type="pct"/>
                  <w:vAlign w:val="center"/>
                </w:tcPr>
                <w:p>
                  <w:pPr>
                    <w:pStyle w:val="76"/>
                    <w:widowControl w:val="0"/>
                    <w:jc w:val="both"/>
                    <w:rPr>
                      <w:rFonts w:ascii="Times New Roman" w:hAnsi="Times New Roman"/>
                      <w:sz w:val="21"/>
                      <w:szCs w:val="21"/>
                    </w:rPr>
                  </w:pPr>
                  <w:r>
                    <w:rPr>
                      <w:rFonts w:ascii="Times New Roman" w:hAnsi="Times New Roman" w:eastAsia="Times New Roman"/>
                      <w:spacing w:val="4"/>
                      <w:sz w:val="21"/>
                      <w:szCs w:val="21"/>
                    </w:rPr>
                    <w:t>1</w:t>
                  </w:r>
                  <w:r>
                    <w:rPr>
                      <w:spacing w:val="4"/>
                      <w:sz w:val="21"/>
                      <w:szCs w:val="21"/>
                    </w:rPr>
                    <w:t>座，容积</w:t>
                  </w:r>
                  <w:r>
                    <w:rPr>
                      <w:rFonts w:hint="eastAsia"/>
                      <w:spacing w:val="4"/>
                      <w:sz w:val="21"/>
                      <w:szCs w:val="21"/>
                    </w:rPr>
                    <w:t>250</w:t>
                  </w:r>
                  <w:r>
                    <w:rPr>
                      <w:rFonts w:ascii="Times New Roman" w:hAnsi="Times New Roman" w:eastAsia="Times New Roman"/>
                      <w:spacing w:val="4"/>
                      <w:sz w:val="21"/>
                      <w:szCs w:val="21"/>
                    </w:rPr>
                    <w:t>m</w:t>
                  </w:r>
                  <w:r>
                    <w:rPr>
                      <w:rFonts w:hint="eastAsia" w:ascii="Times New Roman" w:hAnsi="Times New Roman"/>
                      <w:spacing w:val="4"/>
                      <w:sz w:val="21"/>
                      <w:szCs w:val="21"/>
                      <w:vertAlign w:val="superscript"/>
                    </w:rPr>
                    <w:t>3</w:t>
                  </w:r>
                  <w:r>
                    <w:rPr>
                      <w:spacing w:val="4"/>
                      <w:sz w:val="21"/>
                      <w:szCs w:val="21"/>
                    </w:rPr>
                    <w:t>，用于事故废水。</w:t>
                  </w:r>
                </w:p>
              </w:tc>
              <w:tc>
                <w:tcPr>
                  <w:tcW w:w="985" w:type="pct"/>
                  <w:tcBorders>
                    <w:right w:val="single" w:color="auto" w:sz="4" w:space="0"/>
                  </w:tcBorders>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10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751" w:type="pct"/>
                  <w:vMerge w:val="continue"/>
                  <w:tcBorders>
                    <w:left w:val="single" w:color="auto" w:sz="4" w:space="0"/>
                  </w:tcBorders>
                  <w:vAlign w:val="center"/>
                </w:tcPr>
                <w:p>
                  <w:pPr>
                    <w:adjustRightInd w:val="0"/>
                    <w:snapToGrid w:val="0"/>
                    <w:jc w:val="center"/>
                    <w:rPr>
                      <w:rFonts w:ascii="Times New Roman" w:hAnsi="Times New Roman" w:eastAsia="宋体" w:cs="Times New Roman"/>
                      <w:szCs w:val="21"/>
                    </w:rPr>
                  </w:pPr>
                </w:p>
              </w:tc>
              <w:tc>
                <w:tcPr>
                  <w:tcW w:w="1660" w:type="pct"/>
                  <w:vAlign w:val="center"/>
                </w:tcPr>
                <w:p>
                  <w:pPr>
                    <w:pStyle w:val="76"/>
                    <w:widowControl w:val="0"/>
                    <w:jc w:val="center"/>
                    <w:rPr>
                      <w:rFonts w:ascii="Times New Roman" w:hAnsi="Times New Roman"/>
                      <w:sz w:val="21"/>
                      <w:szCs w:val="21"/>
                    </w:rPr>
                  </w:pPr>
                  <w:r>
                    <w:rPr>
                      <w:rFonts w:hint="eastAsia" w:ascii="Times New Roman" w:hAnsi="Times New Roman"/>
                      <w:sz w:val="21"/>
                      <w:szCs w:val="21"/>
                    </w:rPr>
                    <w:t>成品堆放场渗滤液收集池</w:t>
                  </w:r>
                </w:p>
              </w:tc>
              <w:tc>
                <w:tcPr>
                  <w:tcW w:w="1603" w:type="pct"/>
                  <w:vAlign w:val="center"/>
                </w:tcPr>
                <w:p>
                  <w:pPr>
                    <w:pStyle w:val="76"/>
                    <w:widowControl w:val="0"/>
                    <w:jc w:val="both"/>
                    <w:rPr>
                      <w:rFonts w:ascii="Times New Roman" w:hAnsi="Times New Roman"/>
                      <w:sz w:val="21"/>
                      <w:szCs w:val="21"/>
                    </w:rPr>
                  </w:pPr>
                  <w:r>
                    <w:rPr>
                      <w:rFonts w:ascii="Times New Roman" w:hAnsi="Times New Roman" w:eastAsia="Times New Roman"/>
                      <w:spacing w:val="5"/>
                      <w:sz w:val="21"/>
                      <w:szCs w:val="21"/>
                    </w:rPr>
                    <w:t>1</w:t>
                  </w:r>
                  <w:r>
                    <w:rPr>
                      <w:spacing w:val="5"/>
                      <w:sz w:val="21"/>
                      <w:szCs w:val="21"/>
                    </w:rPr>
                    <w:t>座，容积约为</w:t>
                  </w:r>
                  <w:r>
                    <w:rPr>
                      <w:rFonts w:hint="eastAsia" w:ascii="Times New Roman" w:hAnsi="Times New Roman"/>
                      <w:spacing w:val="5"/>
                      <w:sz w:val="21"/>
                      <w:szCs w:val="21"/>
                    </w:rPr>
                    <w:t>1</w:t>
                  </w:r>
                  <w:r>
                    <w:rPr>
                      <w:rFonts w:ascii="Times New Roman" w:hAnsi="Times New Roman" w:eastAsia="Times New Roman"/>
                      <w:spacing w:val="5"/>
                      <w:sz w:val="21"/>
                      <w:szCs w:val="21"/>
                    </w:rPr>
                    <w:t>0m</w:t>
                  </w:r>
                  <w:r>
                    <w:rPr>
                      <w:rFonts w:hint="eastAsia" w:ascii="Times New Roman" w:hAnsi="Times New Roman"/>
                      <w:spacing w:val="5"/>
                      <w:sz w:val="21"/>
                      <w:szCs w:val="21"/>
                      <w:vertAlign w:val="superscript"/>
                    </w:rPr>
                    <w:t>3</w:t>
                  </w:r>
                  <w:r>
                    <w:rPr>
                      <w:spacing w:val="5"/>
                      <w:sz w:val="21"/>
                      <w:szCs w:val="21"/>
                    </w:rPr>
                    <w:t>，用于收集</w:t>
                  </w:r>
                  <w:r>
                    <w:rPr>
                      <w:rFonts w:hint="eastAsia" w:ascii="Times New Roman" w:hAnsi="Times New Roman"/>
                      <w:sz w:val="21"/>
                      <w:szCs w:val="21"/>
                    </w:rPr>
                    <w:t>成品堆放场产生的渗滤液</w:t>
                  </w:r>
                </w:p>
              </w:tc>
              <w:tc>
                <w:tcPr>
                  <w:tcW w:w="985" w:type="pct"/>
                  <w:tcBorders>
                    <w:right w:val="single" w:color="auto" w:sz="4" w:space="0"/>
                  </w:tcBorders>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751" w:type="pct"/>
                  <w:vMerge w:val="continue"/>
                  <w:tcBorders>
                    <w:left w:val="single" w:color="auto" w:sz="4" w:space="0"/>
                  </w:tcBorders>
                  <w:vAlign w:val="center"/>
                </w:tcPr>
                <w:p>
                  <w:pPr>
                    <w:adjustRightInd w:val="0"/>
                    <w:snapToGrid w:val="0"/>
                    <w:jc w:val="center"/>
                    <w:rPr>
                      <w:rFonts w:ascii="Times New Roman" w:hAnsi="Times New Roman" w:eastAsia="宋体" w:cs="Times New Roman"/>
                      <w:szCs w:val="21"/>
                    </w:rPr>
                  </w:pPr>
                </w:p>
              </w:tc>
              <w:tc>
                <w:tcPr>
                  <w:tcW w:w="1660" w:type="pct"/>
                  <w:vAlign w:val="center"/>
                </w:tcPr>
                <w:p>
                  <w:pPr>
                    <w:pStyle w:val="76"/>
                    <w:widowControl w:val="0"/>
                    <w:jc w:val="center"/>
                    <w:rPr>
                      <w:rFonts w:ascii="Times New Roman" w:hAnsi="Times New Roman"/>
                      <w:sz w:val="21"/>
                      <w:szCs w:val="21"/>
                    </w:rPr>
                  </w:pPr>
                  <w:r>
                    <w:rPr>
                      <w:rFonts w:hint="eastAsia" w:ascii="Times New Roman" w:hAnsi="Times New Roman"/>
                      <w:sz w:val="21"/>
                      <w:szCs w:val="21"/>
                    </w:rPr>
                    <w:t>污泥堆场渗滤液收集池</w:t>
                  </w:r>
                </w:p>
              </w:tc>
              <w:tc>
                <w:tcPr>
                  <w:tcW w:w="1603" w:type="pct"/>
                  <w:vAlign w:val="center"/>
                </w:tcPr>
                <w:p>
                  <w:pPr>
                    <w:pStyle w:val="76"/>
                    <w:widowControl w:val="0"/>
                    <w:jc w:val="both"/>
                    <w:rPr>
                      <w:rFonts w:ascii="Times New Roman" w:hAnsi="Times New Roman" w:eastAsia="Times New Roman"/>
                      <w:spacing w:val="5"/>
                      <w:sz w:val="21"/>
                      <w:szCs w:val="21"/>
                    </w:rPr>
                  </w:pPr>
                  <w:r>
                    <w:rPr>
                      <w:rFonts w:ascii="Times New Roman" w:hAnsi="Times New Roman" w:eastAsia="Times New Roman"/>
                      <w:spacing w:val="5"/>
                      <w:sz w:val="21"/>
                      <w:szCs w:val="21"/>
                    </w:rPr>
                    <w:t>1</w:t>
                  </w:r>
                  <w:r>
                    <w:rPr>
                      <w:spacing w:val="5"/>
                      <w:sz w:val="21"/>
                      <w:szCs w:val="21"/>
                    </w:rPr>
                    <w:t>座，容积约为</w:t>
                  </w:r>
                  <w:r>
                    <w:rPr>
                      <w:rFonts w:hint="eastAsia" w:ascii="Times New Roman" w:hAnsi="Times New Roman"/>
                      <w:spacing w:val="5"/>
                      <w:sz w:val="21"/>
                      <w:szCs w:val="21"/>
                    </w:rPr>
                    <w:t>5</w:t>
                  </w:r>
                  <w:r>
                    <w:rPr>
                      <w:rFonts w:ascii="Times New Roman" w:hAnsi="Times New Roman" w:eastAsia="Times New Roman"/>
                      <w:spacing w:val="5"/>
                      <w:sz w:val="21"/>
                      <w:szCs w:val="21"/>
                    </w:rPr>
                    <w:t>m</w:t>
                  </w:r>
                  <w:r>
                    <w:rPr>
                      <w:rFonts w:hint="eastAsia" w:ascii="Times New Roman" w:hAnsi="Times New Roman"/>
                      <w:spacing w:val="5"/>
                      <w:sz w:val="21"/>
                      <w:szCs w:val="21"/>
                      <w:vertAlign w:val="superscript"/>
                    </w:rPr>
                    <w:t>3</w:t>
                  </w:r>
                  <w:r>
                    <w:rPr>
                      <w:spacing w:val="5"/>
                      <w:sz w:val="21"/>
                      <w:szCs w:val="21"/>
                    </w:rPr>
                    <w:t>，用于收集</w:t>
                  </w:r>
                  <w:r>
                    <w:rPr>
                      <w:rFonts w:hint="eastAsia" w:ascii="Times New Roman" w:hAnsi="Times New Roman"/>
                      <w:sz w:val="21"/>
                      <w:szCs w:val="21"/>
                    </w:rPr>
                    <w:t>污泥堆场产生的渗滤液</w:t>
                  </w:r>
                </w:p>
              </w:tc>
              <w:tc>
                <w:tcPr>
                  <w:tcW w:w="985" w:type="pct"/>
                  <w:tcBorders>
                    <w:right w:val="single" w:color="auto" w:sz="4" w:space="0"/>
                  </w:tcBorders>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751" w:type="pct"/>
                  <w:vMerge w:val="continue"/>
                  <w:tcBorders>
                    <w:left w:val="single" w:color="auto" w:sz="4" w:space="0"/>
                  </w:tcBorders>
                  <w:vAlign w:val="center"/>
                </w:tcPr>
                <w:p>
                  <w:pPr>
                    <w:adjustRightInd w:val="0"/>
                    <w:snapToGrid w:val="0"/>
                    <w:jc w:val="center"/>
                    <w:rPr>
                      <w:rFonts w:ascii="Times New Roman" w:hAnsi="Times New Roman" w:eastAsia="宋体" w:cs="Times New Roman"/>
                      <w:szCs w:val="21"/>
                    </w:rPr>
                  </w:pPr>
                </w:p>
              </w:tc>
              <w:tc>
                <w:tcPr>
                  <w:tcW w:w="1660" w:type="pct"/>
                  <w:vAlign w:val="center"/>
                </w:tcPr>
                <w:p>
                  <w:pPr>
                    <w:pStyle w:val="76"/>
                    <w:widowControl w:val="0"/>
                    <w:jc w:val="center"/>
                    <w:rPr>
                      <w:rFonts w:ascii="Times New Roman" w:hAnsi="Times New Roman"/>
                      <w:sz w:val="21"/>
                      <w:szCs w:val="21"/>
                    </w:rPr>
                  </w:pPr>
                  <w:r>
                    <w:rPr>
                      <w:rFonts w:hint="eastAsia" w:ascii="Times New Roman" w:hAnsi="Times New Roman"/>
                      <w:sz w:val="21"/>
                      <w:szCs w:val="21"/>
                    </w:rPr>
                    <w:t>隔油池</w:t>
                  </w:r>
                </w:p>
              </w:tc>
              <w:tc>
                <w:tcPr>
                  <w:tcW w:w="1603" w:type="pct"/>
                  <w:vAlign w:val="center"/>
                </w:tcPr>
                <w:p>
                  <w:pPr>
                    <w:pStyle w:val="76"/>
                    <w:widowControl w:val="0"/>
                    <w:jc w:val="both"/>
                    <w:rPr>
                      <w:rFonts w:ascii="Times New Roman" w:hAnsi="Times New Roman"/>
                      <w:sz w:val="21"/>
                      <w:szCs w:val="21"/>
                    </w:rPr>
                  </w:pPr>
                  <w:r>
                    <w:rPr>
                      <w:rFonts w:ascii="Times New Roman" w:hAnsi="Times New Roman" w:eastAsia="Times New Roman"/>
                      <w:spacing w:val="5"/>
                      <w:sz w:val="21"/>
                      <w:szCs w:val="21"/>
                    </w:rPr>
                    <w:t>1</w:t>
                  </w:r>
                  <w:r>
                    <w:rPr>
                      <w:spacing w:val="5"/>
                      <w:sz w:val="21"/>
                      <w:szCs w:val="21"/>
                    </w:rPr>
                    <w:t>座，容积</w:t>
                  </w:r>
                  <w:r>
                    <w:rPr>
                      <w:rFonts w:ascii="Times New Roman" w:hAnsi="Times New Roman" w:eastAsia="Times New Roman"/>
                      <w:spacing w:val="5"/>
                      <w:sz w:val="21"/>
                      <w:szCs w:val="21"/>
                    </w:rPr>
                    <w:t>0.5m</w:t>
                  </w:r>
                  <w:r>
                    <w:rPr>
                      <w:rFonts w:hint="eastAsia" w:ascii="Times New Roman" w:hAnsi="Times New Roman"/>
                      <w:spacing w:val="5"/>
                      <w:sz w:val="21"/>
                      <w:szCs w:val="21"/>
                      <w:vertAlign w:val="superscript"/>
                    </w:rPr>
                    <w:t>3</w:t>
                  </w:r>
                  <w:r>
                    <w:rPr>
                      <w:spacing w:val="5"/>
                      <w:sz w:val="21"/>
                      <w:szCs w:val="21"/>
                    </w:rPr>
                    <w:t>，用于预处理食堂废水。</w:t>
                  </w:r>
                </w:p>
              </w:tc>
              <w:tc>
                <w:tcPr>
                  <w:tcW w:w="985" w:type="pct"/>
                  <w:tcBorders>
                    <w:right w:val="single" w:color="auto" w:sz="4" w:space="0"/>
                  </w:tcBorders>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0.5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751" w:type="pct"/>
                  <w:vMerge w:val="continue"/>
                  <w:tcBorders>
                    <w:left w:val="single" w:color="auto" w:sz="4" w:space="0"/>
                  </w:tcBorders>
                  <w:vAlign w:val="center"/>
                </w:tcPr>
                <w:p>
                  <w:pPr>
                    <w:adjustRightInd w:val="0"/>
                    <w:snapToGrid w:val="0"/>
                    <w:jc w:val="center"/>
                    <w:rPr>
                      <w:rFonts w:ascii="Times New Roman" w:hAnsi="Times New Roman" w:eastAsia="宋体" w:cs="Times New Roman"/>
                      <w:szCs w:val="21"/>
                    </w:rPr>
                  </w:pPr>
                </w:p>
              </w:tc>
              <w:tc>
                <w:tcPr>
                  <w:tcW w:w="1660" w:type="pct"/>
                  <w:vAlign w:val="center"/>
                </w:tcPr>
                <w:p>
                  <w:pPr>
                    <w:pStyle w:val="76"/>
                    <w:widowControl w:val="0"/>
                    <w:jc w:val="center"/>
                    <w:rPr>
                      <w:rFonts w:ascii="Times New Roman" w:hAnsi="Times New Roman"/>
                      <w:sz w:val="21"/>
                      <w:szCs w:val="21"/>
                    </w:rPr>
                  </w:pPr>
                  <w:r>
                    <w:rPr>
                      <w:rFonts w:hint="eastAsia" w:ascii="Times New Roman" w:hAnsi="Times New Roman"/>
                      <w:sz w:val="21"/>
                      <w:szCs w:val="21"/>
                    </w:rPr>
                    <w:t>三级化粪池</w:t>
                  </w:r>
                </w:p>
              </w:tc>
              <w:tc>
                <w:tcPr>
                  <w:tcW w:w="1603" w:type="pct"/>
                  <w:vAlign w:val="center"/>
                </w:tcPr>
                <w:p>
                  <w:pPr>
                    <w:pStyle w:val="76"/>
                    <w:widowControl w:val="0"/>
                    <w:jc w:val="both"/>
                    <w:rPr>
                      <w:rFonts w:ascii="Times New Roman" w:hAnsi="Times New Roman"/>
                      <w:sz w:val="21"/>
                      <w:szCs w:val="21"/>
                    </w:rPr>
                  </w:pPr>
                  <w:r>
                    <w:rPr>
                      <w:rFonts w:ascii="Times New Roman" w:hAnsi="Times New Roman" w:eastAsia="Times New Roman"/>
                      <w:spacing w:val="5"/>
                      <w:sz w:val="21"/>
                      <w:szCs w:val="21"/>
                    </w:rPr>
                    <w:t>1</w:t>
                  </w:r>
                  <w:r>
                    <w:rPr>
                      <w:spacing w:val="5"/>
                      <w:sz w:val="21"/>
                      <w:szCs w:val="21"/>
                    </w:rPr>
                    <w:t>座，容积</w:t>
                  </w:r>
                  <w:r>
                    <w:rPr>
                      <w:rFonts w:hint="eastAsia"/>
                      <w:spacing w:val="5"/>
                      <w:sz w:val="21"/>
                      <w:szCs w:val="21"/>
                    </w:rPr>
                    <w:t>10</w:t>
                  </w:r>
                  <w:r>
                    <w:rPr>
                      <w:rFonts w:ascii="Times New Roman" w:hAnsi="Times New Roman" w:eastAsia="Times New Roman"/>
                      <w:spacing w:val="5"/>
                      <w:sz w:val="21"/>
                      <w:szCs w:val="21"/>
                    </w:rPr>
                    <w:t>m</w:t>
                  </w:r>
                  <w:r>
                    <w:rPr>
                      <w:rFonts w:hint="eastAsia" w:ascii="Times New Roman" w:hAnsi="Times New Roman"/>
                      <w:spacing w:val="5"/>
                      <w:sz w:val="21"/>
                      <w:szCs w:val="21"/>
                      <w:vertAlign w:val="superscript"/>
                    </w:rPr>
                    <w:t>3</w:t>
                  </w:r>
                  <w:r>
                    <w:rPr>
                      <w:spacing w:val="5"/>
                      <w:sz w:val="21"/>
                      <w:szCs w:val="21"/>
                    </w:rPr>
                    <w:t>，用于处理</w:t>
                  </w:r>
                  <w:r>
                    <w:rPr>
                      <w:rFonts w:hint="eastAsia"/>
                      <w:spacing w:val="5"/>
                      <w:sz w:val="21"/>
                      <w:szCs w:val="21"/>
                    </w:rPr>
                    <w:t>生活污</w:t>
                  </w:r>
                  <w:r>
                    <w:rPr>
                      <w:spacing w:val="5"/>
                      <w:sz w:val="21"/>
                      <w:szCs w:val="21"/>
                    </w:rPr>
                    <w:t>水。</w:t>
                  </w:r>
                </w:p>
              </w:tc>
              <w:tc>
                <w:tcPr>
                  <w:tcW w:w="985" w:type="pct"/>
                  <w:tcBorders>
                    <w:right w:val="single" w:color="auto" w:sz="4" w:space="0"/>
                  </w:tcBorders>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751" w:type="pct"/>
                  <w:vMerge w:val="restart"/>
                  <w:tcBorders>
                    <w:left w:val="single" w:color="auto" w:sz="4" w:space="0"/>
                  </w:tcBorders>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废气</w:t>
                  </w:r>
                </w:p>
              </w:tc>
              <w:tc>
                <w:tcPr>
                  <w:tcW w:w="1660" w:type="pct"/>
                  <w:vAlign w:val="center"/>
                </w:tcPr>
                <w:p>
                  <w:pPr>
                    <w:pStyle w:val="76"/>
                    <w:widowControl w:val="0"/>
                    <w:jc w:val="center"/>
                    <w:rPr>
                      <w:rFonts w:ascii="Times New Roman" w:hAnsi="Times New Roman"/>
                      <w:sz w:val="21"/>
                      <w:szCs w:val="21"/>
                      <w:lang w:bidi="ar"/>
                    </w:rPr>
                  </w:pPr>
                  <w:r>
                    <w:rPr>
                      <w:rFonts w:hint="eastAsia" w:ascii="Times New Roman" w:hAnsi="Times New Roman"/>
                      <w:sz w:val="21"/>
                      <w:szCs w:val="21"/>
                    </w:rPr>
                    <w:t>雾炮机</w:t>
                  </w:r>
                </w:p>
              </w:tc>
              <w:tc>
                <w:tcPr>
                  <w:tcW w:w="1603" w:type="pct"/>
                  <w:vAlign w:val="center"/>
                </w:tcPr>
                <w:p>
                  <w:pPr>
                    <w:pStyle w:val="76"/>
                    <w:widowControl w:val="0"/>
                    <w:jc w:val="center"/>
                    <w:rPr>
                      <w:rFonts w:ascii="Times New Roman" w:hAnsi="Times New Roman"/>
                      <w:sz w:val="21"/>
                      <w:szCs w:val="21"/>
                      <w:lang w:bidi="ar"/>
                    </w:rPr>
                  </w:pPr>
                  <w:r>
                    <w:rPr>
                      <w:rFonts w:hint="eastAsia" w:ascii="Times New Roman" w:hAnsi="Times New Roman"/>
                      <w:sz w:val="21"/>
                      <w:szCs w:val="21"/>
                    </w:rPr>
                    <w:t>6</w:t>
                  </w:r>
                  <w:r>
                    <w:rPr>
                      <w:rFonts w:ascii="Times New Roman" w:hAnsi="Times New Roman"/>
                      <w:sz w:val="21"/>
                      <w:szCs w:val="21"/>
                    </w:rPr>
                    <w:t>台</w:t>
                  </w:r>
                </w:p>
              </w:tc>
              <w:tc>
                <w:tcPr>
                  <w:tcW w:w="985" w:type="pct"/>
                  <w:tcBorders>
                    <w:right w:val="single" w:color="auto" w:sz="4" w:space="0"/>
                  </w:tcBorders>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751" w:type="pct"/>
                  <w:vMerge w:val="continue"/>
                  <w:tcBorders>
                    <w:left w:val="single" w:color="auto" w:sz="4" w:space="0"/>
                  </w:tcBorders>
                  <w:vAlign w:val="center"/>
                </w:tcPr>
                <w:p>
                  <w:pPr>
                    <w:adjustRightInd w:val="0"/>
                    <w:snapToGrid w:val="0"/>
                    <w:jc w:val="center"/>
                    <w:rPr>
                      <w:rFonts w:ascii="Times New Roman" w:hAnsi="Times New Roman" w:eastAsia="宋体" w:cs="Times New Roman"/>
                      <w:szCs w:val="21"/>
                    </w:rPr>
                  </w:pPr>
                </w:p>
              </w:tc>
              <w:tc>
                <w:tcPr>
                  <w:tcW w:w="1660" w:type="pct"/>
                  <w:vAlign w:val="center"/>
                </w:tcPr>
                <w:p>
                  <w:pPr>
                    <w:pStyle w:val="76"/>
                    <w:widowControl w:val="0"/>
                    <w:jc w:val="center"/>
                    <w:rPr>
                      <w:rFonts w:ascii="Times New Roman" w:hAnsi="Times New Roman"/>
                      <w:sz w:val="21"/>
                      <w:szCs w:val="21"/>
                      <w:lang w:bidi="ar"/>
                    </w:rPr>
                  </w:pPr>
                  <w:r>
                    <w:rPr>
                      <w:rFonts w:hint="eastAsia" w:ascii="Times New Roman" w:hAnsi="Times New Roman"/>
                      <w:sz w:val="21"/>
                      <w:szCs w:val="21"/>
                    </w:rPr>
                    <w:t>喷洒头</w:t>
                  </w:r>
                </w:p>
              </w:tc>
              <w:tc>
                <w:tcPr>
                  <w:tcW w:w="1603" w:type="pct"/>
                  <w:vAlign w:val="center"/>
                </w:tcPr>
                <w:p>
                  <w:pPr>
                    <w:pStyle w:val="76"/>
                    <w:widowControl w:val="0"/>
                    <w:jc w:val="both"/>
                    <w:rPr>
                      <w:rFonts w:ascii="Times New Roman" w:hAnsi="Times New Roman"/>
                      <w:sz w:val="21"/>
                      <w:szCs w:val="21"/>
                      <w:lang w:bidi="ar"/>
                    </w:rPr>
                  </w:pPr>
                  <w:r>
                    <w:rPr>
                      <w:rFonts w:hint="eastAsia" w:ascii="Times New Roman" w:hAnsi="Times New Roman"/>
                      <w:sz w:val="21"/>
                      <w:szCs w:val="21"/>
                    </w:rPr>
                    <w:t>1套，布置于破碎机、振动筛、下料口处</w:t>
                  </w:r>
                </w:p>
              </w:tc>
              <w:tc>
                <w:tcPr>
                  <w:tcW w:w="985" w:type="pct"/>
                  <w:tcBorders>
                    <w:right w:val="single" w:color="auto" w:sz="4" w:space="0"/>
                  </w:tcBorders>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751" w:type="pct"/>
                  <w:vMerge w:val="continue"/>
                  <w:tcBorders>
                    <w:left w:val="single" w:color="auto" w:sz="4" w:space="0"/>
                  </w:tcBorders>
                  <w:vAlign w:val="center"/>
                </w:tcPr>
                <w:p>
                  <w:pPr>
                    <w:adjustRightInd w:val="0"/>
                    <w:snapToGrid w:val="0"/>
                    <w:jc w:val="center"/>
                    <w:rPr>
                      <w:rFonts w:ascii="Times New Roman" w:hAnsi="Times New Roman" w:eastAsia="宋体" w:cs="Times New Roman"/>
                      <w:szCs w:val="21"/>
                    </w:rPr>
                  </w:pPr>
                </w:p>
              </w:tc>
              <w:tc>
                <w:tcPr>
                  <w:tcW w:w="1660" w:type="pct"/>
                  <w:vAlign w:val="center"/>
                </w:tcPr>
                <w:p>
                  <w:pPr>
                    <w:pStyle w:val="76"/>
                    <w:widowControl w:val="0"/>
                    <w:jc w:val="center"/>
                    <w:rPr>
                      <w:rFonts w:ascii="Times New Roman" w:hAnsi="Times New Roman"/>
                      <w:sz w:val="21"/>
                      <w:szCs w:val="21"/>
                      <w:lang w:bidi="ar"/>
                    </w:rPr>
                  </w:pPr>
                  <w:r>
                    <w:rPr>
                      <w:spacing w:val="6"/>
                      <w:sz w:val="21"/>
                      <w:szCs w:val="21"/>
                    </w:rPr>
                    <w:t>轮胎清</w:t>
                  </w:r>
                  <w:r>
                    <w:rPr>
                      <w:rFonts w:hint="eastAsia"/>
                      <w:spacing w:val="1"/>
                      <w:sz w:val="21"/>
                      <w:szCs w:val="21"/>
                    </w:rPr>
                    <w:t>、</w:t>
                  </w:r>
                  <w:r>
                    <w:rPr>
                      <w:spacing w:val="7"/>
                      <w:sz w:val="21"/>
                      <w:szCs w:val="21"/>
                    </w:rPr>
                    <w:t>洗水池</w:t>
                  </w:r>
                </w:p>
              </w:tc>
              <w:tc>
                <w:tcPr>
                  <w:tcW w:w="1603" w:type="pct"/>
                  <w:vAlign w:val="center"/>
                </w:tcPr>
                <w:p>
                  <w:pPr>
                    <w:pStyle w:val="76"/>
                    <w:widowControl w:val="0"/>
                    <w:jc w:val="both"/>
                    <w:rPr>
                      <w:rFonts w:ascii="Times New Roman" w:hAnsi="Times New Roman"/>
                      <w:sz w:val="21"/>
                      <w:szCs w:val="21"/>
                      <w:lang w:bidi="ar"/>
                    </w:rPr>
                  </w:pPr>
                  <w:r>
                    <w:rPr>
                      <w:rFonts w:ascii="Times New Roman" w:hAnsi="Times New Roman" w:eastAsia="Times New Roman"/>
                      <w:spacing w:val="6"/>
                      <w:sz w:val="21"/>
                      <w:szCs w:val="21"/>
                    </w:rPr>
                    <w:t>1</w:t>
                  </w:r>
                  <w:r>
                    <w:rPr>
                      <w:spacing w:val="6"/>
                      <w:sz w:val="21"/>
                      <w:szCs w:val="21"/>
                    </w:rPr>
                    <w:t>座，容积</w:t>
                  </w:r>
                  <w:r>
                    <w:rPr>
                      <w:rFonts w:hint="eastAsia"/>
                      <w:spacing w:val="6"/>
                      <w:sz w:val="21"/>
                      <w:szCs w:val="21"/>
                    </w:rPr>
                    <w:t>3</w:t>
                  </w:r>
                  <w:r>
                    <w:rPr>
                      <w:rFonts w:ascii="Times New Roman" w:hAnsi="Times New Roman" w:eastAsia="Times New Roman"/>
                      <w:spacing w:val="6"/>
                      <w:sz w:val="21"/>
                      <w:szCs w:val="21"/>
                    </w:rPr>
                    <w:t>0m</w:t>
                  </w:r>
                  <w:r>
                    <w:rPr>
                      <w:rFonts w:hint="eastAsia" w:ascii="Times New Roman" w:hAnsi="Times New Roman"/>
                      <w:spacing w:val="6"/>
                      <w:sz w:val="21"/>
                      <w:szCs w:val="21"/>
                      <w:vertAlign w:val="superscript"/>
                    </w:rPr>
                    <w:t>3</w:t>
                  </w:r>
                  <w:r>
                    <w:rPr>
                      <w:spacing w:val="6"/>
                      <w:sz w:val="21"/>
                      <w:szCs w:val="21"/>
                    </w:rPr>
                    <w:t>，位于厂区出入口，用于运输车</w:t>
                  </w:r>
                  <w:r>
                    <w:rPr>
                      <w:spacing w:val="8"/>
                      <w:sz w:val="21"/>
                      <w:szCs w:val="21"/>
                    </w:rPr>
                    <w:t>辆轮胎清洗及废水沉淀。</w:t>
                  </w:r>
                </w:p>
              </w:tc>
              <w:tc>
                <w:tcPr>
                  <w:tcW w:w="985" w:type="pct"/>
                  <w:tcBorders>
                    <w:right w:val="single" w:color="auto" w:sz="4" w:space="0"/>
                  </w:tcBorders>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751" w:type="pct"/>
                  <w:tcBorders>
                    <w:left w:val="single" w:color="auto" w:sz="4" w:space="0"/>
                  </w:tcBorders>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噪声</w:t>
                  </w:r>
                </w:p>
              </w:tc>
              <w:tc>
                <w:tcPr>
                  <w:tcW w:w="3263" w:type="pct"/>
                  <w:gridSpan w:val="2"/>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选择低噪声设备、高噪声设备安装减振垫、合理布局、风机安装消声器等</w:t>
                  </w:r>
                </w:p>
              </w:tc>
              <w:tc>
                <w:tcPr>
                  <w:tcW w:w="985" w:type="pct"/>
                  <w:tcBorders>
                    <w:right w:val="single" w:color="auto" w:sz="4" w:space="0"/>
                  </w:tcBorders>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751" w:type="pct"/>
                  <w:vMerge w:val="restart"/>
                  <w:tcBorders>
                    <w:left w:val="single" w:color="auto" w:sz="4" w:space="0"/>
                  </w:tcBorders>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固废</w:t>
                  </w:r>
                </w:p>
              </w:tc>
              <w:tc>
                <w:tcPr>
                  <w:tcW w:w="1660" w:type="pct"/>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垃圾桶</w:t>
                  </w:r>
                </w:p>
              </w:tc>
              <w:tc>
                <w:tcPr>
                  <w:tcW w:w="1603" w:type="pct"/>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若干</w:t>
                  </w:r>
                </w:p>
              </w:tc>
              <w:tc>
                <w:tcPr>
                  <w:tcW w:w="985" w:type="pct"/>
                  <w:tcBorders>
                    <w:right w:val="single" w:color="auto" w:sz="4" w:space="0"/>
                  </w:tcBorders>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0.5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751" w:type="pct"/>
                  <w:vMerge w:val="continue"/>
                  <w:tcBorders>
                    <w:left w:val="single" w:color="auto" w:sz="4" w:space="0"/>
                  </w:tcBorders>
                  <w:vAlign w:val="center"/>
                </w:tcPr>
                <w:p>
                  <w:pPr>
                    <w:adjustRightInd w:val="0"/>
                    <w:snapToGrid w:val="0"/>
                    <w:jc w:val="center"/>
                    <w:rPr>
                      <w:rFonts w:ascii="Times New Roman" w:hAnsi="Times New Roman" w:eastAsia="宋体" w:cs="Times New Roman"/>
                      <w:szCs w:val="21"/>
                    </w:rPr>
                  </w:pPr>
                </w:p>
              </w:tc>
              <w:tc>
                <w:tcPr>
                  <w:tcW w:w="1660" w:type="pct"/>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危废暂存间</w:t>
                  </w:r>
                </w:p>
              </w:tc>
              <w:tc>
                <w:tcPr>
                  <w:tcW w:w="1603" w:type="pct"/>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10m</w:t>
                  </w:r>
                  <w:r>
                    <w:rPr>
                      <w:rFonts w:ascii="Times New Roman" w:hAnsi="Times New Roman" w:eastAsia="宋体" w:cs="Times New Roman"/>
                      <w:szCs w:val="21"/>
                      <w:vertAlign w:val="superscript"/>
                    </w:rPr>
                    <w:t>2</w:t>
                  </w:r>
                </w:p>
              </w:tc>
              <w:tc>
                <w:tcPr>
                  <w:tcW w:w="985" w:type="pct"/>
                  <w:tcBorders>
                    <w:right w:val="single" w:color="auto" w:sz="4" w:space="0"/>
                  </w:tcBorders>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751" w:type="pct"/>
                  <w:vMerge w:val="continue"/>
                  <w:tcBorders>
                    <w:left w:val="single" w:color="auto" w:sz="4" w:space="0"/>
                  </w:tcBorders>
                  <w:vAlign w:val="center"/>
                </w:tcPr>
                <w:p>
                  <w:pPr>
                    <w:adjustRightInd w:val="0"/>
                    <w:snapToGrid w:val="0"/>
                    <w:jc w:val="center"/>
                    <w:rPr>
                      <w:rFonts w:ascii="Times New Roman" w:hAnsi="Times New Roman" w:eastAsia="宋体" w:cs="Times New Roman"/>
                      <w:szCs w:val="21"/>
                    </w:rPr>
                  </w:pPr>
                </w:p>
              </w:tc>
              <w:tc>
                <w:tcPr>
                  <w:tcW w:w="1660" w:type="pct"/>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污泥堆场</w:t>
                  </w:r>
                </w:p>
              </w:tc>
              <w:tc>
                <w:tcPr>
                  <w:tcW w:w="1603" w:type="pct"/>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kern w:val="0"/>
                      <w:szCs w:val="21"/>
                    </w:rPr>
                    <w:t>设彩钢瓦大棚+三面围挡，围挡高度要求高于</w:t>
                  </w:r>
                  <w:r>
                    <w:rPr>
                      <w:rFonts w:hint="eastAsia" w:ascii="Times New Roman" w:hAnsi="Times New Roman" w:eastAsia="宋体" w:cs="Times New Roman"/>
                      <w:kern w:val="0"/>
                      <w:szCs w:val="21"/>
                    </w:rPr>
                    <w:t>污泥</w:t>
                  </w:r>
                  <w:r>
                    <w:rPr>
                      <w:rFonts w:ascii="Times New Roman" w:hAnsi="Times New Roman" w:eastAsia="宋体" w:cs="Times New Roman"/>
                      <w:kern w:val="0"/>
                      <w:szCs w:val="21"/>
                    </w:rPr>
                    <w:t>堆放高度，围挡高约</w:t>
                  </w:r>
                  <w:r>
                    <w:rPr>
                      <w:rFonts w:hint="eastAsia" w:ascii="Times New Roman" w:hAnsi="Times New Roman" w:eastAsia="宋体" w:cs="Times New Roman"/>
                      <w:kern w:val="0"/>
                      <w:szCs w:val="21"/>
                    </w:rPr>
                    <w:t>1</w:t>
                  </w:r>
                  <w:r>
                    <w:rPr>
                      <w:rFonts w:ascii="Times New Roman" w:hAnsi="Times New Roman" w:eastAsia="宋体" w:cs="Times New Roman"/>
                      <w:kern w:val="0"/>
                      <w:szCs w:val="21"/>
                    </w:rPr>
                    <w:t>m。成品堆场占地面积约为</w:t>
                  </w:r>
                  <w:r>
                    <w:rPr>
                      <w:rFonts w:hint="eastAsia" w:ascii="Times New Roman" w:hAnsi="Times New Roman" w:eastAsia="宋体" w:cs="Times New Roman"/>
                      <w:kern w:val="0"/>
                      <w:szCs w:val="21"/>
                    </w:rPr>
                    <w:t>100</w:t>
                  </w:r>
                  <w:r>
                    <w:rPr>
                      <w:rFonts w:ascii="Times New Roman" w:hAnsi="Times New Roman" w:eastAsia="宋体" w:cs="Times New Roman"/>
                      <w:kern w:val="0"/>
                      <w:szCs w:val="21"/>
                    </w:rPr>
                    <w:t>㎡。</w:t>
                  </w:r>
                </w:p>
              </w:tc>
              <w:tc>
                <w:tcPr>
                  <w:tcW w:w="985" w:type="pct"/>
                  <w:tcBorders>
                    <w:right w:val="single" w:color="auto" w:sz="4" w:space="0"/>
                  </w:tcBorders>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20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751" w:type="pct"/>
                  <w:tcBorders>
                    <w:left w:val="single" w:color="auto" w:sz="4" w:space="0"/>
                  </w:tcBorders>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环境风险</w:t>
                  </w:r>
                </w:p>
              </w:tc>
              <w:tc>
                <w:tcPr>
                  <w:tcW w:w="1660" w:type="pct"/>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环境风险应急培训、演练等</w:t>
                  </w:r>
                </w:p>
              </w:tc>
              <w:tc>
                <w:tcPr>
                  <w:tcW w:w="1603" w:type="pct"/>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w:t>
                  </w:r>
                </w:p>
              </w:tc>
              <w:tc>
                <w:tcPr>
                  <w:tcW w:w="985" w:type="pct"/>
                  <w:tcBorders>
                    <w:right w:val="single" w:color="auto" w:sz="4" w:space="0"/>
                  </w:tcBorders>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751" w:type="pct"/>
                  <w:vMerge w:val="restart"/>
                  <w:tcBorders>
                    <w:left w:val="single" w:color="auto" w:sz="4" w:space="0"/>
                  </w:tcBorders>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生态环境</w:t>
                  </w:r>
                </w:p>
              </w:tc>
              <w:tc>
                <w:tcPr>
                  <w:tcW w:w="1660" w:type="pct"/>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水土保持措施</w:t>
                  </w:r>
                </w:p>
              </w:tc>
              <w:tc>
                <w:tcPr>
                  <w:tcW w:w="1603" w:type="pct"/>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北桥河一侧修建拦挡措施，北桥河一侧减少堆存量，水土保持措施</w:t>
                  </w:r>
                  <w:r>
                    <w:rPr>
                      <w:rFonts w:hint="eastAsia" w:ascii="Times New Roman" w:hAnsi="Times New Roman" w:eastAsia="宋体" w:cs="Times New Roman"/>
                      <w:szCs w:val="21"/>
                      <w:lang w:eastAsia="zh-CN"/>
                    </w:rPr>
                    <w:t>以</w:t>
                  </w:r>
                  <w:r>
                    <w:rPr>
                      <w:rFonts w:hint="eastAsia" w:ascii="Times New Roman" w:hAnsi="Times New Roman" w:eastAsia="宋体" w:cs="Times New Roman"/>
                      <w:szCs w:val="21"/>
                    </w:rPr>
                    <w:t>《水土保持方案初步设计报告书》为主</w:t>
                  </w:r>
                </w:p>
              </w:tc>
              <w:tc>
                <w:tcPr>
                  <w:tcW w:w="985" w:type="pct"/>
                  <w:tcBorders>
                    <w:right w:val="single" w:color="auto" w:sz="4" w:space="0"/>
                  </w:tcBorders>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10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751" w:type="pct"/>
                  <w:vMerge w:val="continue"/>
                  <w:tcBorders>
                    <w:left w:val="single" w:color="auto" w:sz="4" w:space="0"/>
                  </w:tcBorders>
                  <w:vAlign w:val="center"/>
                </w:tcPr>
                <w:p>
                  <w:pPr>
                    <w:adjustRightInd w:val="0"/>
                    <w:snapToGrid w:val="0"/>
                    <w:jc w:val="center"/>
                    <w:rPr>
                      <w:rFonts w:ascii="Times New Roman" w:hAnsi="Times New Roman" w:eastAsia="宋体" w:cs="Times New Roman"/>
                      <w:szCs w:val="21"/>
                    </w:rPr>
                  </w:pPr>
                </w:p>
              </w:tc>
              <w:tc>
                <w:tcPr>
                  <w:tcW w:w="1660" w:type="pct"/>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绿化</w:t>
                  </w:r>
                </w:p>
              </w:tc>
              <w:tc>
                <w:tcPr>
                  <w:tcW w:w="1603" w:type="pct"/>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pacing w:val="2"/>
                      <w:szCs w:val="21"/>
                    </w:rPr>
                    <w:t>占地面积约50m</w:t>
                  </w:r>
                  <w:r>
                    <w:rPr>
                      <w:rFonts w:ascii="Times New Roman" w:hAnsi="Times New Roman" w:eastAsia="宋体" w:cs="Times New Roman"/>
                      <w:spacing w:val="2"/>
                      <w:szCs w:val="21"/>
                      <w:vertAlign w:val="superscript"/>
                    </w:rPr>
                    <w:t>2</w:t>
                  </w:r>
                </w:p>
              </w:tc>
              <w:tc>
                <w:tcPr>
                  <w:tcW w:w="985" w:type="pct"/>
                  <w:tcBorders>
                    <w:right w:val="single" w:color="auto" w:sz="4" w:space="0"/>
                  </w:tcBorders>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0.4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751" w:type="pct"/>
                  <w:vMerge w:val="continue"/>
                  <w:tcBorders>
                    <w:left w:val="single" w:color="auto" w:sz="4" w:space="0"/>
                  </w:tcBorders>
                  <w:vAlign w:val="center"/>
                </w:tcPr>
                <w:p>
                  <w:pPr>
                    <w:adjustRightInd w:val="0"/>
                    <w:snapToGrid w:val="0"/>
                    <w:jc w:val="center"/>
                    <w:rPr>
                      <w:rFonts w:ascii="Times New Roman" w:hAnsi="Times New Roman" w:eastAsia="宋体" w:cs="Times New Roman"/>
                      <w:szCs w:val="21"/>
                    </w:rPr>
                  </w:pPr>
                </w:p>
              </w:tc>
              <w:tc>
                <w:tcPr>
                  <w:tcW w:w="1660" w:type="pct"/>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环保标识标牌</w:t>
                  </w:r>
                </w:p>
              </w:tc>
              <w:tc>
                <w:tcPr>
                  <w:tcW w:w="1603" w:type="pct"/>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w:t>
                  </w:r>
                </w:p>
              </w:tc>
              <w:tc>
                <w:tcPr>
                  <w:tcW w:w="985" w:type="pct"/>
                  <w:tcBorders>
                    <w:right w:val="single" w:color="auto" w:sz="4" w:space="0"/>
                  </w:tcBorders>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0</w:t>
                  </w:r>
                  <w:r>
                    <w:rPr>
                      <w:rFonts w:hint="eastAsia" w:ascii="Times New Roman" w:hAnsi="Times New Roman" w:eastAsia="宋体" w:cs="Times New Roman"/>
                      <w:szCs w:val="21"/>
                    </w:rPr>
                    <w:t>.</w:t>
                  </w:r>
                  <w:r>
                    <w:rPr>
                      <w:rFonts w:ascii="Times New Roman" w:hAnsi="Times New Roman" w:eastAsia="宋体" w:cs="Times New Roman"/>
                      <w:szCs w:val="21"/>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751" w:type="pct"/>
                  <w:vMerge w:val="restart"/>
                  <w:tcBorders>
                    <w:left w:val="single" w:color="auto" w:sz="4" w:space="0"/>
                  </w:tcBorders>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其他</w:t>
                  </w:r>
                </w:p>
              </w:tc>
              <w:tc>
                <w:tcPr>
                  <w:tcW w:w="1660" w:type="pct"/>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竣工环境保护验收</w:t>
                  </w:r>
                </w:p>
              </w:tc>
              <w:tc>
                <w:tcPr>
                  <w:tcW w:w="1603" w:type="pct"/>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w:t>
                  </w:r>
                </w:p>
              </w:tc>
              <w:tc>
                <w:tcPr>
                  <w:tcW w:w="985" w:type="pct"/>
                  <w:tcBorders>
                    <w:right w:val="single" w:color="auto" w:sz="4" w:space="0"/>
                  </w:tcBorders>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751" w:type="pct"/>
                  <w:vMerge w:val="continue"/>
                  <w:tcBorders>
                    <w:left w:val="single" w:color="auto" w:sz="4" w:space="0"/>
                  </w:tcBorders>
                  <w:vAlign w:val="center"/>
                </w:tcPr>
                <w:p>
                  <w:pPr>
                    <w:adjustRightInd w:val="0"/>
                    <w:snapToGrid w:val="0"/>
                    <w:jc w:val="center"/>
                    <w:rPr>
                      <w:rFonts w:ascii="Times New Roman" w:hAnsi="Times New Roman" w:eastAsia="宋体" w:cs="Times New Roman"/>
                      <w:szCs w:val="21"/>
                    </w:rPr>
                  </w:pPr>
                </w:p>
              </w:tc>
              <w:tc>
                <w:tcPr>
                  <w:tcW w:w="1660" w:type="pct"/>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环境监理</w:t>
                  </w:r>
                </w:p>
              </w:tc>
              <w:tc>
                <w:tcPr>
                  <w:tcW w:w="1603" w:type="pct"/>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w:t>
                  </w:r>
                </w:p>
              </w:tc>
              <w:tc>
                <w:tcPr>
                  <w:tcW w:w="985" w:type="pct"/>
                  <w:tcBorders>
                    <w:right w:val="single" w:color="auto" w:sz="4" w:space="0"/>
                  </w:tcBorders>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751" w:type="pct"/>
                  <w:vMerge w:val="continue"/>
                  <w:tcBorders>
                    <w:left w:val="single" w:color="auto" w:sz="4" w:space="0"/>
                  </w:tcBorders>
                  <w:vAlign w:val="center"/>
                </w:tcPr>
                <w:p>
                  <w:pPr>
                    <w:adjustRightInd w:val="0"/>
                    <w:snapToGrid w:val="0"/>
                    <w:jc w:val="center"/>
                    <w:rPr>
                      <w:rFonts w:ascii="Times New Roman" w:hAnsi="Times New Roman" w:eastAsia="宋体" w:cs="Times New Roman"/>
                      <w:szCs w:val="21"/>
                    </w:rPr>
                  </w:pPr>
                </w:p>
              </w:tc>
              <w:tc>
                <w:tcPr>
                  <w:tcW w:w="1660" w:type="pct"/>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环境监测</w:t>
                  </w:r>
                </w:p>
              </w:tc>
              <w:tc>
                <w:tcPr>
                  <w:tcW w:w="1603" w:type="pct"/>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w:t>
                  </w:r>
                </w:p>
              </w:tc>
              <w:tc>
                <w:tcPr>
                  <w:tcW w:w="985" w:type="pct"/>
                  <w:tcBorders>
                    <w:right w:val="single" w:color="auto" w:sz="4" w:space="0"/>
                  </w:tcBorders>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0.8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751" w:type="pct"/>
                  <w:tcBorders>
                    <w:left w:val="single" w:color="auto" w:sz="4" w:space="0"/>
                  </w:tcBorders>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合计</w:t>
                  </w:r>
                </w:p>
              </w:tc>
              <w:tc>
                <w:tcPr>
                  <w:tcW w:w="3263" w:type="pct"/>
                  <w:gridSpan w:val="2"/>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w:t>
                  </w:r>
                </w:p>
              </w:tc>
              <w:tc>
                <w:tcPr>
                  <w:tcW w:w="985" w:type="pct"/>
                  <w:tcBorders>
                    <w:right w:val="single" w:color="auto" w:sz="4" w:space="0"/>
                  </w:tcBorders>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137.4</w:t>
                  </w:r>
                </w:p>
              </w:tc>
            </w:tr>
          </w:tbl>
          <w:p>
            <w:pPr>
              <w:adjustRightInd w:val="0"/>
              <w:snapToGrid w:val="0"/>
              <w:spacing w:line="360" w:lineRule="auto"/>
              <w:ind w:firstLine="482" w:firstLineChars="200"/>
              <w:rPr>
                <w:rFonts w:ascii="Times New Roman" w:hAnsi="Times New Roman" w:eastAsia="宋体" w:cs="Times New Roman"/>
                <w:b/>
                <w:bCs/>
                <w:sz w:val="24"/>
              </w:rPr>
            </w:pPr>
            <w:r>
              <w:rPr>
                <w:rFonts w:hint="eastAsia" w:ascii="Times New Roman" w:hAnsi="Times New Roman" w:eastAsia="宋体" w:cs="Times New Roman"/>
                <w:b/>
                <w:bCs/>
                <w:sz w:val="24"/>
              </w:rPr>
              <w:t>十</w:t>
            </w:r>
            <w:r>
              <w:rPr>
                <w:rFonts w:ascii="Times New Roman" w:hAnsi="Times New Roman" w:eastAsia="宋体" w:cs="Times New Roman"/>
                <w:b/>
                <w:bCs/>
                <w:sz w:val="24"/>
              </w:rPr>
              <w:t>、环境管理及监测</w:t>
            </w:r>
          </w:p>
          <w:p>
            <w:pPr>
              <w:tabs>
                <w:tab w:val="left" w:pos="479"/>
              </w:tabs>
              <w:adjustRightInd w:val="0"/>
              <w:snapToGrid w:val="0"/>
              <w:spacing w:line="360" w:lineRule="auto"/>
              <w:ind w:firstLine="482" w:firstLineChars="200"/>
              <w:rPr>
                <w:rFonts w:ascii="Times New Roman" w:hAnsi="Times New Roman" w:eastAsia="宋体" w:cs="Times New Roman"/>
                <w:b/>
                <w:sz w:val="24"/>
              </w:rPr>
            </w:pPr>
            <w:r>
              <w:rPr>
                <w:rFonts w:ascii="Times New Roman" w:hAnsi="Times New Roman" w:eastAsia="宋体" w:cs="Times New Roman"/>
                <w:b/>
                <w:sz w:val="24"/>
              </w:rPr>
              <w:t>1、环境管理</w:t>
            </w:r>
          </w:p>
          <w:p>
            <w:pPr>
              <w:tabs>
                <w:tab w:val="left" w:pos="180"/>
              </w:tabs>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建立环境保护的管理机制，落实设计、评价和审批部门提出环境保护措施，落实环境保护经费，实施环境保护对策措施；协调政府环境管理部门与工程环境管理间的关系，为具体实施环境保护措施和采取补救措施提供依据和基础资料。</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表4-</w:t>
            </w:r>
            <w:r>
              <w:rPr>
                <w:rFonts w:hint="eastAsia" w:ascii="Times New Roman" w:hAnsi="Times New Roman" w:eastAsia="宋体" w:cs="Times New Roman"/>
                <w:b/>
                <w:szCs w:val="21"/>
              </w:rPr>
              <w:t>21</w:t>
            </w:r>
            <w:r>
              <w:rPr>
                <w:rFonts w:ascii="Times New Roman" w:hAnsi="Times New Roman" w:eastAsia="宋体" w:cs="Times New Roman"/>
                <w:b/>
                <w:szCs w:val="21"/>
              </w:rPr>
              <w:t xml:space="preserve"> 环境管理工作计划一览表</w:t>
            </w:r>
          </w:p>
          <w:tbl>
            <w:tblPr>
              <w:tblStyle w:val="29"/>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6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9" w:type="pct"/>
                  <w:vMerge w:val="restart"/>
                  <w:tcBorders>
                    <w:tl2br w:val="nil"/>
                    <w:tr2bl w:val="nil"/>
                  </w:tcBorders>
                  <w:vAlign w:val="center"/>
                </w:tcPr>
                <w:p>
                  <w:pPr>
                    <w:adjustRightInd w:val="0"/>
                    <w:snapToGrid w:val="0"/>
                    <w:rPr>
                      <w:rFonts w:ascii="Times New Roman" w:hAnsi="Times New Roman" w:eastAsia="宋体" w:cs="Times New Roman"/>
                      <w:snapToGrid w:val="0"/>
                      <w:szCs w:val="21"/>
                    </w:rPr>
                  </w:pPr>
                  <w:r>
                    <w:rPr>
                      <w:rFonts w:ascii="Times New Roman" w:hAnsi="Times New Roman" w:eastAsia="宋体" w:cs="Times New Roman"/>
                      <w:snapToGrid w:val="0"/>
                      <w:szCs w:val="21"/>
                    </w:rPr>
                    <w:t>企业环境管理总要求</w:t>
                  </w:r>
                </w:p>
              </w:tc>
              <w:tc>
                <w:tcPr>
                  <w:tcW w:w="4380" w:type="pct"/>
                  <w:tcBorders>
                    <w:tl2br w:val="nil"/>
                    <w:tr2bl w:val="nil"/>
                  </w:tcBorders>
                  <w:vAlign w:val="center"/>
                </w:tcPr>
                <w:p>
                  <w:pPr>
                    <w:adjustRightInd w:val="0"/>
                    <w:snapToGrid w:val="0"/>
                    <w:rPr>
                      <w:rFonts w:ascii="Times New Roman" w:hAnsi="Times New Roman" w:eastAsia="宋体" w:cs="Times New Roman"/>
                      <w:snapToGrid w:val="0"/>
                      <w:szCs w:val="21"/>
                    </w:rPr>
                  </w:pPr>
                  <w:r>
                    <w:rPr>
                      <w:rFonts w:ascii="Times New Roman" w:hAnsi="Times New Roman" w:eastAsia="宋体" w:cs="Times New Roman"/>
                      <w:snapToGrid w:val="0"/>
                      <w:szCs w:val="21"/>
                    </w:rPr>
                    <w:t>根据国家建设项目环境保护管理规定，认真落实各项环保手续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9" w:type="pct"/>
                  <w:vMerge w:val="continue"/>
                  <w:tcBorders>
                    <w:tl2br w:val="nil"/>
                    <w:tr2bl w:val="nil"/>
                  </w:tcBorders>
                  <w:vAlign w:val="center"/>
                </w:tcPr>
                <w:p>
                  <w:pPr>
                    <w:adjustRightInd w:val="0"/>
                    <w:snapToGrid w:val="0"/>
                    <w:rPr>
                      <w:rFonts w:ascii="Times New Roman" w:hAnsi="Times New Roman" w:eastAsia="宋体" w:cs="Times New Roman"/>
                      <w:snapToGrid w:val="0"/>
                      <w:szCs w:val="21"/>
                    </w:rPr>
                  </w:pPr>
                </w:p>
              </w:tc>
              <w:tc>
                <w:tcPr>
                  <w:tcW w:w="4380" w:type="pct"/>
                  <w:tcBorders>
                    <w:tl2br w:val="nil"/>
                    <w:tr2bl w:val="nil"/>
                  </w:tcBorders>
                  <w:vAlign w:val="center"/>
                </w:tcPr>
                <w:p>
                  <w:pPr>
                    <w:adjustRightInd w:val="0"/>
                    <w:snapToGrid w:val="0"/>
                    <w:rPr>
                      <w:rFonts w:ascii="Times New Roman" w:hAnsi="Times New Roman" w:eastAsia="宋体" w:cs="Times New Roman"/>
                      <w:snapToGrid w:val="0"/>
                      <w:szCs w:val="21"/>
                    </w:rPr>
                  </w:pPr>
                  <w:r>
                    <w:rPr>
                      <w:rFonts w:ascii="Times New Roman" w:hAnsi="Times New Roman" w:eastAsia="宋体" w:cs="Times New Roman"/>
                      <w:snapToGrid w:val="0"/>
                      <w:szCs w:val="21"/>
                    </w:rPr>
                    <w:t>（1）可研阶段，委托评价单位编制环境影响报告表；</w:t>
                  </w:r>
                </w:p>
                <w:p>
                  <w:pPr>
                    <w:adjustRightInd w:val="0"/>
                    <w:snapToGrid w:val="0"/>
                    <w:rPr>
                      <w:rFonts w:ascii="Times New Roman" w:hAnsi="Times New Roman" w:eastAsia="宋体" w:cs="Times New Roman"/>
                      <w:snapToGrid w:val="0"/>
                      <w:szCs w:val="21"/>
                    </w:rPr>
                  </w:pPr>
                  <w:r>
                    <w:rPr>
                      <w:rFonts w:ascii="Times New Roman" w:hAnsi="Times New Roman" w:eastAsia="宋体" w:cs="Times New Roman"/>
                      <w:snapToGrid w:val="0"/>
                      <w:szCs w:val="21"/>
                    </w:rPr>
                    <w:t>（2）“三同时”贯穿项目建设全过程；</w:t>
                  </w:r>
                </w:p>
                <w:p>
                  <w:pPr>
                    <w:adjustRightInd w:val="0"/>
                    <w:snapToGrid w:val="0"/>
                    <w:rPr>
                      <w:rFonts w:ascii="Times New Roman" w:hAnsi="Times New Roman" w:eastAsia="宋体" w:cs="Times New Roman"/>
                      <w:snapToGrid w:val="0"/>
                      <w:szCs w:val="21"/>
                    </w:rPr>
                  </w:pPr>
                  <w:r>
                    <w:rPr>
                      <w:rFonts w:ascii="Times New Roman" w:hAnsi="Times New Roman" w:eastAsia="宋体" w:cs="Times New Roman"/>
                      <w:szCs w:val="21"/>
                    </w:rPr>
                    <mc:AlternateContent>
                      <mc:Choice Requires="wps">
                        <w:drawing>
                          <wp:anchor distT="0" distB="0" distL="114300" distR="114300" simplePos="0" relativeHeight="251660288" behindDoc="1" locked="0" layoutInCell="1" allowOverlap="1">
                            <wp:simplePos x="0" y="0"/>
                            <wp:positionH relativeFrom="page">
                              <wp:posOffset>6474460</wp:posOffset>
                            </wp:positionH>
                            <wp:positionV relativeFrom="paragraph">
                              <wp:posOffset>927100</wp:posOffset>
                            </wp:positionV>
                            <wp:extent cx="19050" cy="9525"/>
                            <wp:effectExtent l="0" t="0" r="0" b="0"/>
                            <wp:wrapNone/>
                            <wp:docPr id="6" name="矩形 6"/>
                            <wp:cNvGraphicFramePr/>
                            <a:graphic xmlns:a="http://schemas.openxmlformats.org/drawingml/2006/main">
                              <a:graphicData uri="http://schemas.microsoft.com/office/word/2010/wordprocessingShape">
                                <wps:wsp>
                                  <wps:cNvSpPr/>
                                  <wps:spPr>
                                    <a:xfrm>
                                      <a:off x="0" y="0"/>
                                      <a:ext cx="19050" cy="9525"/>
                                    </a:xfrm>
                                    <a:prstGeom prst="rect">
                                      <a:avLst/>
                                    </a:prstGeom>
                                    <a:solidFill>
                                      <a:srgbClr val="000000"/>
                                    </a:solidFill>
                                    <a:ln>
                                      <a:noFill/>
                                    </a:ln>
                                  </wps:spPr>
                                  <wps:txbx>
                                    <w:txbxContent>
                                      <w:p/>
                                    </w:txbxContent>
                                  </wps:txbx>
                                  <wps:bodyPr upright="1"/>
                                </wps:wsp>
                              </a:graphicData>
                            </a:graphic>
                          </wp:anchor>
                        </w:drawing>
                      </mc:Choice>
                      <mc:Fallback>
                        <w:pict>
                          <v:rect id="_x0000_s1026" o:spid="_x0000_s1026" o:spt="1" style="position:absolute;left:0pt;margin-left:509.8pt;margin-top:73pt;height:0.75pt;width:1.5pt;mso-position-horizontal-relative:page;z-index:-251656192;mso-width-relative:page;mso-height-relative:page;" fillcolor="#000000" filled="t" stroked="f" coordsize="21600,21600" o:gfxdata="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h8rB&#10;I9gAAAANAQAADwAAAAAAAAABACAAAAAiAAAAZHJzL2Rvd25yZXYueG1sUEsBAhQAFAAAAAgAh07i&#10;QN3p1T6wAQAAZgMAAA4AAAAAAAAAAQAgAAAAJwEAAGRycy9lMm9Eb2MueG1sUEsFBgAAAAAGAAYA&#10;WQEAAEkFAAAAAA==&#10;">
                            <v:fill on="t" focussize="0,0"/>
                            <v:stroke on="f"/>
                            <v:imagedata o:title=""/>
                            <o:lock v:ext="edit" aspectratio="f"/>
                            <v:textbox>
                              <w:txbxContent>
                                <w:p/>
                              </w:txbxContent>
                            </v:textbox>
                          </v:rect>
                        </w:pict>
                      </mc:Fallback>
                    </mc:AlternateContent>
                  </w:r>
                  <w:r>
                    <w:rPr>
                      <w:rFonts w:ascii="Times New Roman" w:hAnsi="Times New Roman" w:eastAsia="宋体" w:cs="Times New Roman"/>
                      <w:snapToGrid w:val="0"/>
                      <w:szCs w:val="21"/>
                    </w:rPr>
                    <w:t>（3）开展施工期环境监理。严把施工质量关，严格按照设计要求和施工验收规范质量要求执行；</w:t>
                  </w:r>
                </w:p>
                <w:p>
                  <w:pPr>
                    <w:adjustRightInd w:val="0"/>
                    <w:snapToGrid w:val="0"/>
                    <w:rPr>
                      <w:rFonts w:ascii="Times New Roman" w:hAnsi="Times New Roman" w:eastAsia="宋体" w:cs="Times New Roman"/>
                      <w:snapToGrid w:val="0"/>
                      <w:szCs w:val="21"/>
                    </w:rPr>
                  </w:pPr>
                  <w:r>
                    <w:rPr>
                      <w:rFonts w:ascii="Times New Roman" w:hAnsi="Times New Roman" w:eastAsia="宋体" w:cs="Times New Roman"/>
                      <w:snapToGrid w:val="0"/>
                      <w:szCs w:val="21"/>
                    </w:rPr>
                    <w:t>（4）生产运行中，定期进行例行监测工作，同时请当地生态环境部门监督、检查、协助主管部门做好环境管理工作，对不达标装置及时整顿。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9" w:type="pct"/>
                  <w:tcBorders>
                    <w:tl2br w:val="nil"/>
                    <w:tr2bl w:val="nil"/>
                  </w:tcBorders>
                  <w:vAlign w:val="center"/>
                </w:tcPr>
                <w:p>
                  <w:pPr>
                    <w:adjustRightInd w:val="0"/>
                    <w:snapToGrid w:val="0"/>
                    <w:rPr>
                      <w:rFonts w:ascii="Times New Roman" w:hAnsi="Times New Roman" w:eastAsia="宋体" w:cs="Times New Roman"/>
                      <w:snapToGrid w:val="0"/>
                      <w:szCs w:val="21"/>
                    </w:rPr>
                  </w:pPr>
                  <w:r>
                    <w:rPr>
                      <w:rFonts w:hint="eastAsia" w:ascii="Times New Roman" w:hAnsi="Times New Roman" w:eastAsia="宋体" w:cs="Times New Roman"/>
                      <w:snapToGrid w:val="0"/>
                      <w:szCs w:val="21"/>
                    </w:rPr>
                    <w:t>施工期</w:t>
                  </w:r>
                  <w:r>
                    <w:rPr>
                      <w:rFonts w:ascii="Times New Roman" w:hAnsi="Times New Roman" w:eastAsia="宋体" w:cs="Times New Roman"/>
                      <w:snapToGrid w:val="0"/>
                      <w:szCs w:val="21"/>
                    </w:rPr>
                    <w:t>阶段环境管理</w:t>
                  </w:r>
                </w:p>
              </w:tc>
              <w:tc>
                <w:tcPr>
                  <w:tcW w:w="4380" w:type="pct"/>
                  <w:tcBorders>
                    <w:tl2br w:val="nil"/>
                    <w:tr2bl w:val="nil"/>
                  </w:tcBorders>
                  <w:vAlign w:val="center"/>
                </w:tcPr>
                <w:p>
                  <w:pPr>
                    <w:adjustRightInd w:val="0"/>
                    <w:snapToGrid w:val="0"/>
                    <w:rPr>
                      <w:rFonts w:ascii="Times New Roman" w:hAnsi="Times New Roman" w:eastAsia="宋体" w:cs="Times New Roman"/>
                      <w:snapToGrid w:val="0"/>
                      <w:szCs w:val="21"/>
                    </w:rPr>
                  </w:pPr>
                  <w:r>
                    <w:rPr>
                      <w:rFonts w:hint="eastAsia" w:ascii="Times New Roman" w:hAnsi="Times New Roman" w:eastAsia="宋体" w:cs="Times New Roman"/>
                      <w:snapToGrid w:val="0"/>
                      <w:szCs w:val="21"/>
                    </w:rPr>
                    <w:t>1、废气</w:t>
                  </w:r>
                </w:p>
                <w:p>
                  <w:pPr>
                    <w:adjustRightInd w:val="0"/>
                    <w:snapToGrid w:val="0"/>
                    <w:rPr>
                      <w:rFonts w:ascii="Times New Roman" w:hAnsi="Times New Roman" w:eastAsia="宋体" w:cs="Times New Roman"/>
                      <w:snapToGrid w:val="0"/>
                      <w:szCs w:val="21"/>
                    </w:rPr>
                  </w:pPr>
                  <w:r>
                    <w:rPr>
                      <w:rFonts w:ascii="Times New Roman" w:hAnsi="Times New Roman" w:eastAsia="宋体" w:cs="Times New Roman"/>
                      <w:snapToGrid w:val="0"/>
                      <w:szCs w:val="21"/>
                    </w:rPr>
                    <w:t>（1）砂石堆场在露天堆放时，应对其进行洒水，提高表面含水率，起到抑尘的效果；对水泥等易产生扬尘的物料，应盖篷布。</w:t>
                  </w:r>
                </w:p>
                <w:p>
                  <w:pPr>
                    <w:adjustRightInd w:val="0"/>
                    <w:snapToGrid w:val="0"/>
                    <w:rPr>
                      <w:rFonts w:ascii="Times New Roman" w:hAnsi="Times New Roman" w:eastAsia="宋体" w:cs="Times New Roman"/>
                      <w:snapToGrid w:val="0"/>
                      <w:szCs w:val="21"/>
                    </w:rPr>
                  </w:pPr>
                  <w:r>
                    <w:rPr>
                      <w:rFonts w:ascii="Times New Roman" w:hAnsi="Times New Roman" w:eastAsia="宋体" w:cs="Times New Roman"/>
                      <w:snapToGrid w:val="0"/>
                      <w:szCs w:val="21"/>
                    </w:rPr>
                    <w:t>（2）避免在起风的情况下装卸易起尘物料。</w:t>
                  </w:r>
                </w:p>
                <w:p>
                  <w:pPr>
                    <w:adjustRightInd w:val="0"/>
                    <w:snapToGrid w:val="0"/>
                    <w:rPr>
                      <w:rFonts w:ascii="Times New Roman" w:hAnsi="Times New Roman" w:eastAsia="宋体" w:cs="Times New Roman"/>
                      <w:snapToGrid w:val="0"/>
                      <w:szCs w:val="21"/>
                    </w:rPr>
                  </w:pPr>
                  <w:r>
                    <w:rPr>
                      <w:rFonts w:ascii="Times New Roman" w:hAnsi="Times New Roman" w:eastAsia="宋体" w:cs="Times New Roman"/>
                      <w:snapToGrid w:val="0"/>
                      <w:szCs w:val="21"/>
                    </w:rPr>
                    <w:t>（3）对工地附近的道路环境实行保洁制度，及时清扫，减少扬尘对环境的影响。</w:t>
                  </w:r>
                </w:p>
                <w:p>
                  <w:pPr>
                    <w:adjustRightInd w:val="0"/>
                    <w:snapToGrid w:val="0"/>
                    <w:rPr>
                      <w:rFonts w:ascii="Times New Roman" w:hAnsi="Times New Roman" w:eastAsia="宋体" w:cs="Times New Roman"/>
                      <w:snapToGrid w:val="0"/>
                      <w:szCs w:val="21"/>
                    </w:rPr>
                  </w:pPr>
                  <w:r>
                    <w:rPr>
                      <w:rFonts w:ascii="Times New Roman" w:hAnsi="Times New Roman" w:eastAsia="宋体" w:cs="Times New Roman"/>
                      <w:snapToGrid w:val="0"/>
                      <w:szCs w:val="21"/>
                    </w:rPr>
                    <w:t>（4）脚手架拆除前，先将水平网内、脚手板上的垃圾清理干净，清理时避免扬尘。</w:t>
                  </w:r>
                </w:p>
                <w:p>
                  <w:pPr>
                    <w:adjustRightInd w:val="0"/>
                    <w:snapToGrid w:val="0"/>
                    <w:rPr>
                      <w:rFonts w:ascii="Times New Roman" w:hAnsi="Times New Roman" w:eastAsia="宋体" w:cs="Times New Roman"/>
                      <w:snapToGrid w:val="0"/>
                      <w:szCs w:val="21"/>
                    </w:rPr>
                  </w:pPr>
                  <w:r>
                    <w:rPr>
                      <w:rFonts w:ascii="Times New Roman" w:hAnsi="Times New Roman" w:eastAsia="宋体" w:cs="Times New Roman"/>
                      <w:snapToGrid w:val="0"/>
                      <w:szCs w:val="21"/>
                    </w:rPr>
                    <w:t>（5）装卸和贮存物料应当防止物料遗撒或产生扬尘。</w:t>
                  </w:r>
                </w:p>
                <w:p>
                  <w:pPr>
                    <w:adjustRightInd w:val="0"/>
                    <w:snapToGrid w:val="0"/>
                    <w:rPr>
                      <w:rFonts w:ascii="Times New Roman" w:hAnsi="Times New Roman" w:eastAsia="宋体" w:cs="Times New Roman"/>
                      <w:snapToGrid w:val="0"/>
                      <w:szCs w:val="21"/>
                    </w:rPr>
                  </w:pPr>
                  <w:r>
                    <w:rPr>
                      <w:rFonts w:ascii="Times New Roman" w:hAnsi="Times New Roman" w:eastAsia="宋体" w:cs="Times New Roman"/>
                      <w:snapToGrid w:val="0"/>
                      <w:szCs w:val="21"/>
                    </w:rPr>
                    <w:t>（6）施工场地四周建2m高的围墙，在结构施工阶段和装修阶段对建筑物外部应用密目网围挡，可有效减轻扬尘对周围环境的影响。</w:t>
                  </w:r>
                </w:p>
                <w:p>
                  <w:pPr>
                    <w:adjustRightInd w:val="0"/>
                    <w:snapToGrid w:val="0"/>
                    <w:rPr>
                      <w:rFonts w:ascii="Times New Roman" w:hAnsi="Times New Roman" w:eastAsia="宋体" w:cs="Times New Roman"/>
                      <w:snapToGrid w:val="0"/>
                      <w:szCs w:val="21"/>
                    </w:rPr>
                  </w:pPr>
                  <w:r>
                    <w:rPr>
                      <w:rFonts w:ascii="Times New Roman" w:hAnsi="Times New Roman" w:eastAsia="宋体" w:cs="Times New Roman"/>
                      <w:snapToGrid w:val="0"/>
                      <w:szCs w:val="21"/>
                    </w:rPr>
                    <w:t>（7）接触粉尘的施工人员必须佩戴口罩等个人防护用具，防止粉尘对施工人员健康的危害。</w:t>
                  </w:r>
                </w:p>
                <w:p>
                  <w:pPr>
                    <w:adjustRightInd w:val="0"/>
                    <w:snapToGrid w:val="0"/>
                    <w:rPr>
                      <w:rFonts w:ascii="Times New Roman" w:hAnsi="Times New Roman" w:eastAsia="宋体" w:cs="Times New Roman"/>
                      <w:snapToGrid w:val="0"/>
                      <w:szCs w:val="21"/>
                    </w:rPr>
                  </w:pPr>
                  <w:r>
                    <w:rPr>
                      <w:rFonts w:ascii="Times New Roman" w:hAnsi="Times New Roman" w:eastAsia="宋体" w:cs="Times New Roman"/>
                      <w:snapToGrid w:val="0"/>
                      <w:szCs w:val="21"/>
                    </w:rPr>
                    <w:t>（8）运沙、石、水泥等的车辆载货限高和加盖篷布，防止沿途洒落、产生扬尘。</w:t>
                  </w:r>
                </w:p>
                <w:p>
                  <w:pPr>
                    <w:adjustRightInd w:val="0"/>
                    <w:snapToGrid w:val="0"/>
                    <w:rPr>
                      <w:rFonts w:ascii="Times New Roman" w:hAnsi="Times New Roman" w:eastAsia="宋体" w:cs="Times New Roman"/>
                      <w:snapToGrid w:val="0"/>
                      <w:szCs w:val="21"/>
                    </w:rPr>
                  </w:pPr>
                  <w:r>
                    <w:rPr>
                      <w:rFonts w:ascii="Times New Roman" w:hAnsi="Times New Roman" w:eastAsia="宋体" w:cs="Times New Roman"/>
                      <w:snapToGrid w:val="0"/>
                      <w:szCs w:val="21"/>
                    </w:rPr>
                    <w:t>（9）应选用车况较好的车辆，以避免因车辆本身振动而造成土方或物料散落地面，从而产生扬尘污染。</w:t>
                  </w:r>
                </w:p>
                <w:p>
                  <w:pPr>
                    <w:adjustRightInd w:val="0"/>
                    <w:snapToGrid w:val="0"/>
                    <w:rPr>
                      <w:rFonts w:ascii="Times New Roman" w:hAnsi="Times New Roman" w:eastAsia="宋体" w:cs="Times New Roman"/>
                      <w:snapToGrid w:val="0"/>
                      <w:szCs w:val="21"/>
                    </w:rPr>
                  </w:pPr>
                  <w:r>
                    <w:rPr>
                      <w:rFonts w:ascii="Times New Roman" w:hAnsi="Times New Roman" w:eastAsia="宋体" w:cs="Times New Roman"/>
                      <w:snapToGrid w:val="0"/>
                      <w:szCs w:val="21"/>
                    </w:rPr>
                    <w:t>（10）运输时间选择车流、人流较少的时间。</w:t>
                  </w:r>
                </w:p>
                <w:p>
                  <w:pPr>
                    <w:adjustRightInd w:val="0"/>
                    <w:snapToGrid w:val="0"/>
                    <w:rPr>
                      <w:rFonts w:ascii="Times New Roman" w:hAnsi="Times New Roman" w:eastAsia="宋体" w:cs="Times New Roman"/>
                      <w:snapToGrid w:val="0"/>
                      <w:szCs w:val="21"/>
                    </w:rPr>
                  </w:pPr>
                  <w:r>
                    <w:rPr>
                      <w:rFonts w:ascii="Times New Roman" w:hAnsi="Times New Roman" w:eastAsia="宋体" w:cs="Times New Roman"/>
                      <w:snapToGrid w:val="0"/>
                      <w:szCs w:val="21"/>
                    </w:rPr>
                    <w:t>（11）运输材料进出口应安排专人经常清扫和洒水降尘。</w:t>
                  </w:r>
                </w:p>
                <w:p>
                  <w:pPr>
                    <w:adjustRightInd w:val="0"/>
                    <w:snapToGrid w:val="0"/>
                    <w:rPr>
                      <w:rFonts w:ascii="Times New Roman" w:hAnsi="Times New Roman" w:eastAsia="宋体" w:cs="Times New Roman"/>
                      <w:snapToGrid w:val="0"/>
                      <w:szCs w:val="21"/>
                    </w:rPr>
                  </w:pPr>
                  <w:r>
                    <w:rPr>
                      <w:rFonts w:ascii="Times New Roman" w:hAnsi="Times New Roman" w:eastAsia="宋体" w:cs="Times New Roman"/>
                      <w:snapToGrid w:val="0"/>
                      <w:szCs w:val="21"/>
                    </w:rPr>
                    <w:t>（12）加强施工机械和车辆维护和保养，经常检查汽车的密封元件及进排气是否工作正常，以减少汽、柴油的泄漏，保证排气系统畅通，并使用优质燃料，减少废气的排放。</w:t>
                  </w:r>
                </w:p>
                <w:p>
                  <w:pPr>
                    <w:adjustRightInd w:val="0"/>
                    <w:snapToGrid w:val="0"/>
                    <w:rPr>
                      <w:rFonts w:ascii="Times New Roman" w:hAnsi="Times New Roman" w:eastAsia="宋体" w:cs="Times New Roman"/>
                      <w:snapToGrid w:val="0"/>
                      <w:szCs w:val="21"/>
                    </w:rPr>
                  </w:pPr>
                  <w:r>
                    <w:rPr>
                      <w:rFonts w:hint="eastAsia" w:ascii="Times New Roman" w:hAnsi="Times New Roman" w:eastAsia="宋体" w:cs="Times New Roman"/>
                      <w:snapToGrid w:val="0"/>
                      <w:szCs w:val="21"/>
                    </w:rPr>
                    <w:t>2、噪声</w:t>
                  </w:r>
                </w:p>
                <w:p>
                  <w:pPr>
                    <w:adjustRightInd w:val="0"/>
                    <w:snapToGrid w:val="0"/>
                    <w:rPr>
                      <w:rFonts w:ascii="Times New Roman" w:hAnsi="Times New Roman" w:eastAsia="宋体" w:cs="Times New Roman"/>
                      <w:snapToGrid w:val="0"/>
                      <w:szCs w:val="21"/>
                    </w:rPr>
                  </w:pPr>
                  <w:r>
                    <w:rPr>
                      <w:rFonts w:hint="eastAsia" w:ascii="Times New Roman" w:hAnsi="Times New Roman" w:eastAsia="宋体" w:cs="Times New Roman"/>
                      <w:snapToGrid w:val="0"/>
                      <w:szCs w:val="21"/>
                    </w:rPr>
                    <w:t>（1）选用低噪声设备，并加强检修与维护，使之始终处于良好的工作状态。运输车辆等进出场地应限速、禁鸣；并要求施工人员严格规范操作施工机械。</w:t>
                  </w:r>
                </w:p>
                <w:p>
                  <w:pPr>
                    <w:adjustRightInd w:val="0"/>
                    <w:snapToGrid w:val="0"/>
                    <w:rPr>
                      <w:rFonts w:ascii="Times New Roman" w:hAnsi="Times New Roman" w:eastAsia="宋体" w:cs="Times New Roman"/>
                      <w:snapToGrid w:val="0"/>
                      <w:szCs w:val="21"/>
                    </w:rPr>
                  </w:pPr>
                  <w:r>
                    <w:rPr>
                      <w:rFonts w:hint="eastAsia" w:ascii="Times New Roman" w:hAnsi="Times New Roman" w:eastAsia="宋体" w:cs="Times New Roman"/>
                      <w:snapToGrid w:val="0"/>
                      <w:szCs w:val="21"/>
                    </w:rPr>
                    <w:t>（2）合理安排施工时间，避免强噪声设备同时施工，持续作业；施工阶段均安排在白天进行，夜间禁止进行施工作业。</w:t>
                  </w:r>
                </w:p>
                <w:p>
                  <w:pPr>
                    <w:adjustRightInd w:val="0"/>
                    <w:snapToGrid w:val="0"/>
                    <w:rPr>
                      <w:rFonts w:ascii="Times New Roman" w:hAnsi="Times New Roman" w:eastAsia="宋体" w:cs="Times New Roman"/>
                      <w:snapToGrid w:val="0"/>
                      <w:szCs w:val="21"/>
                    </w:rPr>
                  </w:pPr>
                  <w:r>
                    <w:rPr>
                      <w:rFonts w:hint="eastAsia" w:ascii="Times New Roman" w:hAnsi="Times New Roman" w:eastAsia="宋体" w:cs="Times New Roman"/>
                      <w:snapToGrid w:val="0"/>
                      <w:szCs w:val="21"/>
                    </w:rPr>
                    <w:t>（3）合理布置施工场地，根据周围环境条件，将产噪设备布置于项目区中部，增加噪声源与敏感点的距离。</w:t>
                  </w:r>
                </w:p>
                <w:p>
                  <w:pPr>
                    <w:adjustRightInd w:val="0"/>
                    <w:snapToGrid w:val="0"/>
                    <w:rPr>
                      <w:rFonts w:ascii="Times New Roman" w:hAnsi="Times New Roman" w:eastAsia="宋体" w:cs="Times New Roman"/>
                      <w:snapToGrid w:val="0"/>
                      <w:szCs w:val="21"/>
                    </w:rPr>
                  </w:pPr>
                  <w:r>
                    <w:rPr>
                      <w:rFonts w:hint="eastAsia" w:ascii="Times New Roman" w:hAnsi="Times New Roman" w:eastAsia="宋体" w:cs="Times New Roman"/>
                      <w:snapToGrid w:val="0"/>
                      <w:szCs w:val="21"/>
                    </w:rPr>
                    <w:t>（4）降低人为噪声，机械设备、模板、支架等在装卸过程中，应避免碰撞，以减少噪声的产生；不用哨子指挥作业。</w:t>
                  </w:r>
                </w:p>
                <w:p>
                  <w:pPr>
                    <w:adjustRightInd w:val="0"/>
                    <w:snapToGrid w:val="0"/>
                    <w:rPr>
                      <w:rFonts w:ascii="Times New Roman" w:hAnsi="Times New Roman" w:eastAsia="宋体" w:cs="Times New Roman"/>
                      <w:snapToGrid w:val="0"/>
                      <w:szCs w:val="21"/>
                    </w:rPr>
                  </w:pPr>
                  <w:r>
                    <w:rPr>
                      <w:rFonts w:hint="eastAsia" w:ascii="Times New Roman" w:hAnsi="Times New Roman" w:eastAsia="宋体" w:cs="Times New Roman"/>
                      <w:snapToGrid w:val="0"/>
                      <w:szCs w:val="21"/>
                    </w:rPr>
                    <w:t>（5）为减少施工噪声的影响，施工场地四周建2m高的围墙，并在施工结构阶段和装修阶段对建筑物外部也应采取围挡，以减轻设备噪声对周围环境的影响。</w:t>
                  </w:r>
                </w:p>
                <w:p>
                  <w:pPr>
                    <w:adjustRightInd w:val="0"/>
                    <w:snapToGrid w:val="0"/>
                    <w:rPr>
                      <w:rFonts w:ascii="Times New Roman" w:hAnsi="Times New Roman" w:eastAsia="宋体" w:cs="Times New Roman"/>
                      <w:snapToGrid w:val="0"/>
                      <w:szCs w:val="21"/>
                    </w:rPr>
                  </w:pPr>
                  <w:r>
                    <w:rPr>
                      <w:rFonts w:hint="eastAsia" w:ascii="Times New Roman" w:hAnsi="Times New Roman" w:eastAsia="宋体" w:cs="Times New Roman"/>
                      <w:snapToGrid w:val="0"/>
                      <w:szCs w:val="21"/>
                    </w:rPr>
                    <w:t>（6）减少交通噪声，进出车辆和经过敏感点的车辆应限速、禁鸣。</w:t>
                  </w:r>
                </w:p>
                <w:p>
                  <w:pPr>
                    <w:adjustRightInd w:val="0"/>
                    <w:snapToGrid w:val="0"/>
                    <w:rPr>
                      <w:rFonts w:ascii="Times New Roman" w:hAnsi="Times New Roman" w:eastAsia="宋体" w:cs="Times New Roman"/>
                      <w:snapToGrid w:val="0"/>
                      <w:szCs w:val="21"/>
                    </w:rPr>
                  </w:pPr>
                  <w:r>
                    <w:rPr>
                      <w:rFonts w:hint="eastAsia" w:ascii="Times New Roman" w:hAnsi="Times New Roman" w:eastAsia="宋体" w:cs="Times New Roman"/>
                      <w:snapToGrid w:val="0"/>
                      <w:szCs w:val="21"/>
                    </w:rPr>
                    <w:t>（7）对施工人员采取相应的劳动保护措施，按规定，施工人员连续接触噪声不得超过8h，定时轮换岗位，在噪声源集中的施工点，施工人员须佩戴耳塞，以减少噪声对人体的危害。</w:t>
                  </w:r>
                </w:p>
                <w:p>
                  <w:pPr>
                    <w:adjustRightInd w:val="0"/>
                    <w:snapToGrid w:val="0"/>
                    <w:rPr>
                      <w:rFonts w:ascii="Times New Roman" w:hAnsi="Times New Roman" w:eastAsia="宋体" w:cs="Times New Roman"/>
                      <w:b/>
                      <w:bCs/>
                      <w:snapToGrid w:val="0"/>
                      <w:szCs w:val="21"/>
                    </w:rPr>
                  </w:pPr>
                  <w:r>
                    <w:rPr>
                      <w:rFonts w:hint="eastAsia" w:ascii="Times New Roman" w:hAnsi="Times New Roman" w:eastAsia="宋体" w:cs="Times New Roman"/>
                      <w:b/>
                      <w:bCs/>
                      <w:snapToGrid w:val="0"/>
                      <w:szCs w:val="21"/>
                    </w:rPr>
                    <w:t>3、固废</w:t>
                  </w:r>
                </w:p>
                <w:p>
                  <w:pPr>
                    <w:adjustRightInd w:val="0"/>
                    <w:snapToGrid w:val="0"/>
                    <w:rPr>
                      <w:rFonts w:ascii="Times New Roman" w:hAnsi="Times New Roman" w:eastAsia="宋体" w:cs="Times New Roman"/>
                      <w:snapToGrid w:val="0"/>
                      <w:szCs w:val="21"/>
                    </w:rPr>
                  </w:pPr>
                  <w:r>
                    <w:rPr>
                      <w:rFonts w:hint="eastAsia" w:ascii="Times New Roman" w:hAnsi="Times New Roman" w:eastAsia="宋体" w:cs="Times New Roman"/>
                      <w:snapToGrid w:val="0"/>
                      <w:szCs w:val="21"/>
                    </w:rPr>
                    <w:t>（1）生活垃圾应妥善处置，减少雨水冲刷造成地表污染，并保持工区环境的洁净卫生。生活垃圾通过垃圾收集桶收集后委托环卫部门清运处置。</w:t>
                  </w:r>
                </w:p>
                <w:p>
                  <w:pPr>
                    <w:adjustRightInd w:val="0"/>
                    <w:snapToGrid w:val="0"/>
                    <w:rPr>
                      <w:rFonts w:ascii="Times New Roman" w:hAnsi="Times New Roman" w:eastAsia="宋体" w:cs="Times New Roman"/>
                      <w:snapToGrid w:val="0"/>
                      <w:szCs w:val="21"/>
                    </w:rPr>
                  </w:pPr>
                  <w:r>
                    <w:rPr>
                      <w:rFonts w:hint="eastAsia" w:ascii="Times New Roman" w:hAnsi="Times New Roman" w:eastAsia="宋体" w:cs="Times New Roman"/>
                      <w:snapToGrid w:val="0"/>
                      <w:szCs w:val="21"/>
                    </w:rPr>
                    <w:t>（2）建筑修改垃圾中能回收利用的进行回收利用，将不可利用的建筑装修垃圾按住建部门要求处置。</w:t>
                  </w:r>
                </w:p>
                <w:p>
                  <w:pPr>
                    <w:adjustRightInd w:val="0"/>
                    <w:snapToGrid w:val="0"/>
                    <w:rPr>
                      <w:rFonts w:ascii="Times New Roman" w:hAnsi="Times New Roman" w:eastAsia="宋体" w:cs="Times New Roman"/>
                      <w:b/>
                      <w:bCs/>
                      <w:snapToGrid w:val="0"/>
                      <w:szCs w:val="21"/>
                    </w:rPr>
                  </w:pPr>
                  <w:r>
                    <w:rPr>
                      <w:rFonts w:hint="eastAsia" w:ascii="Times New Roman" w:hAnsi="Times New Roman" w:eastAsia="宋体" w:cs="Times New Roman"/>
                      <w:b/>
                      <w:bCs/>
                      <w:snapToGrid w:val="0"/>
                      <w:szCs w:val="21"/>
                    </w:rPr>
                    <w:t>4、废水</w:t>
                  </w:r>
                </w:p>
                <w:p>
                  <w:pPr>
                    <w:adjustRightInd w:val="0"/>
                    <w:snapToGrid w:val="0"/>
                    <w:rPr>
                      <w:rFonts w:ascii="Times New Roman" w:hAnsi="Times New Roman" w:eastAsia="宋体" w:cs="Times New Roman"/>
                      <w:snapToGrid w:val="0"/>
                      <w:szCs w:val="21"/>
                    </w:rPr>
                  </w:pPr>
                  <w:r>
                    <w:rPr>
                      <w:rFonts w:hint="eastAsia" w:ascii="Times New Roman" w:hAnsi="Times New Roman" w:eastAsia="宋体" w:cs="Times New Roman"/>
                      <w:snapToGrid w:val="0"/>
                      <w:szCs w:val="21"/>
                    </w:rPr>
                    <w:t>施工期主要为施工废水、生活污水，生活污水依托项目区已建三级化粪池进行处置，不外排；施工废水通过厂区临时沉淀池处理后用于厂区洒水降尘及绿化用水，不外排。严禁废水外排污染北桥河。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619" w:type="pct"/>
                  <w:vMerge w:val="restart"/>
                  <w:tcBorders>
                    <w:tl2br w:val="nil"/>
                    <w:tr2bl w:val="nil"/>
                  </w:tcBorders>
                  <w:vAlign w:val="center"/>
                </w:tcPr>
                <w:p>
                  <w:pPr>
                    <w:adjustRightInd w:val="0"/>
                    <w:snapToGrid w:val="0"/>
                    <w:rPr>
                      <w:rFonts w:ascii="Times New Roman" w:hAnsi="Times New Roman" w:eastAsia="宋体" w:cs="Times New Roman"/>
                      <w:snapToGrid w:val="0"/>
                      <w:szCs w:val="21"/>
                    </w:rPr>
                  </w:pPr>
                  <w:r>
                    <w:rPr>
                      <w:rFonts w:ascii="Times New Roman" w:hAnsi="Times New Roman" w:eastAsia="宋体" w:cs="Times New Roman"/>
                      <w:snapToGrid w:val="0"/>
                      <w:szCs w:val="21"/>
                    </w:rPr>
                    <w:t>试生产阶段环境管理</w:t>
                  </w:r>
                </w:p>
              </w:tc>
              <w:tc>
                <w:tcPr>
                  <w:tcW w:w="4380" w:type="pct"/>
                  <w:tcBorders>
                    <w:tl2br w:val="nil"/>
                    <w:tr2bl w:val="nil"/>
                  </w:tcBorders>
                  <w:vAlign w:val="center"/>
                </w:tcPr>
                <w:p>
                  <w:pPr>
                    <w:adjustRightInd w:val="0"/>
                    <w:snapToGrid w:val="0"/>
                    <w:rPr>
                      <w:rFonts w:ascii="Times New Roman" w:hAnsi="Times New Roman" w:eastAsia="宋体" w:cs="Times New Roman"/>
                      <w:snapToGrid w:val="0"/>
                      <w:szCs w:val="21"/>
                    </w:rPr>
                  </w:pPr>
                  <w:r>
                    <w:rPr>
                      <w:rFonts w:ascii="Times New Roman" w:hAnsi="Times New Roman" w:eastAsia="宋体" w:cs="Times New Roman"/>
                      <w:snapToGrid w:val="0"/>
                      <w:szCs w:val="21"/>
                    </w:rPr>
                    <w:t>完善准备、最大限度减少事故发生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619" w:type="pct"/>
                  <w:vMerge w:val="continue"/>
                  <w:tcBorders>
                    <w:tl2br w:val="nil"/>
                    <w:tr2bl w:val="nil"/>
                  </w:tcBorders>
                  <w:vAlign w:val="center"/>
                </w:tcPr>
                <w:p>
                  <w:pPr>
                    <w:adjustRightInd w:val="0"/>
                    <w:snapToGrid w:val="0"/>
                    <w:rPr>
                      <w:rFonts w:ascii="Times New Roman" w:hAnsi="Times New Roman" w:eastAsia="宋体" w:cs="Times New Roman"/>
                      <w:snapToGrid w:val="0"/>
                      <w:szCs w:val="21"/>
                    </w:rPr>
                  </w:pPr>
                </w:p>
              </w:tc>
              <w:tc>
                <w:tcPr>
                  <w:tcW w:w="4380" w:type="pct"/>
                  <w:tcBorders>
                    <w:tl2br w:val="nil"/>
                    <w:tr2bl w:val="nil"/>
                  </w:tcBorders>
                  <w:vAlign w:val="center"/>
                </w:tcPr>
                <w:p>
                  <w:pPr>
                    <w:adjustRightInd w:val="0"/>
                    <w:snapToGrid w:val="0"/>
                    <w:rPr>
                      <w:rFonts w:ascii="Times New Roman" w:hAnsi="Times New Roman" w:eastAsia="宋体" w:cs="Times New Roman"/>
                      <w:szCs w:val="21"/>
                    </w:rPr>
                  </w:pPr>
                  <w:r>
                    <w:rPr>
                      <w:rFonts w:ascii="Times New Roman" w:hAnsi="Times New Roman" w:eastAsia="宋体" w:cs="Times New Roman"/>
                      <w:szCs w:val="21"/>
                    </w:rPr>
                    <w:t>（1）严格施工设计监理，保证工程质量；</w:t>
                  </w:r>
                </w:p>
                <w:p>
                  <w:pPr>
                    <w:adjustRightInd w:val="0"/>
                    <w:snapToGrid w:val="0"/>
                    <w:rPr>
                      <w:rFonts w:ascii="Times New Roman" w:hAnsi="Times New Roman" w:eastAsia="宋体" w:cs="Times New Roman"/>
                      <w:szCs w:val="21"/>
                    </w:rPr>
                  </w:pPr>
                  <w:r>
                    <w:rPr>
                      <w:rFonts w:ascii="Times New Roman" w:hAnsi="Times New Roman" w:eastAsia="宋体" w:cs="Times New Roman"/>
                      <w:szCs w:val="21"/>
                    </w:rPr>
                    <w:t>（2）请生态环境部门协助试生产阶段环境管理工作；</w:t>
                  </w:r>
                </w:p>
                <w:p>
                  <w:pPr>
                    <w:adjustRightInd w:val="0"/>
                    <w:snapToGrid w:val="0"/>
                    <w:rPr>
                      <w:rFonts w:ascii="Times New Roman" w:hAnsi="Times New Roman" w:eastAsia="宋体" w:cs="Times New Roman"/>
                      <w:szCs w:val="21"/>
                    </w:rPr>
                  </w:pPr>
                  <w:r>
                    <w:rPr>
                      <w:rFonts w:ascii="Times New Roman" w:hAnsi="Times New Roman" w:eastAsia="宋体" w:cs="Times New Roman"/>
                      <w:szCs w:val="21"/>
                    </w:rPr>
                    <w:t>（3）严格按照设计及环评的要求，保证沉淀池的防渗工程；</w:t>
                  </w:r>
                </w:p>
                <w:p>
                  <w:pPr>
                    <w:adjustRightInd w:val="0"/>
                    <w:snapToGrid w:val="0"/>
                    <w:rPr>
                      <w:rFonts w:ascii="Times New Roman" w:hAnsi="Times New Roman" w:eastAsia="宋体" w:cs="Times New Roman"/>
                      <w:szCs w:val="21"/>
                    </w:rPr>
                  </w:pPr>
                  <w:r>
                    <w:rPr>
                      <w:rFonts w:ascii="Times New Roman" w:hAnsi="Times New Roman" w:eastAsia="宋体" w:cs="Times New Roman"/>
                      <w:szCs w:val="21"/>
                    </w:rPr>
                    <w:t>（4）完成排污许可证申报工作，取得排污许可证后方可排污；</w:t>
                  </w:r>
                </w:p>
                <w:p>
                  <w:pPr>
                    <w:adjustRightInd w:val="0"/>
                    <w:snapToGrid w:val="0"/>
                    <w:rPr>
                      <w:rFonts w:ascii="Times New Roman" w:hAnsi="Times New Roman" w:eastAsia="宋体" w:cs="Times New Roman"/>
                      <w:szCs w:val="21"/>
                    </w:rPr>
                  </w:pPr>
                  <w:r>
                    <w:rPr>
                      <w:rFonts w:ascii="Times New Roman" w:hAnsi="Times New Roman" w:eastAsia="宋体" w:cs="Times New Roman"/>
                      <w:szCs w:val="21"/>
                    </w:rPr>
                    <w:t>（5）完成竣工环境保护自主验收，验收合格后，方可正式运行。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9" w:type="pct"/>
                  <w:vMerge w:val="restart"/>
                  <w:tcBorders>
                    <w:tl2br w:val="nil"/>
                    <w:tr2bl w:val="nil"/>
                  </w:tcBorders>
                  <w:vAlign w:val="center"/>
                </w:tcPr>
                <w:p>
                  <w:pPr>
                    <w:adjustRightInd w:val="0"/>
                    <w:snapToGrid w:val="0"/>
                    <w:rPr>
                      <w:rFonts w:ascii="Times New Roman" w:hAnsi="Times New Roman" w:eastAsia="宋体" w:cs="Times New Roman"/>
                      <w:snapToGrid w:val="0"/>
                      <w:szCs w:val="21"/>
                    </w:rPr>
                  </w:pPr>
                  <w:r>
                    <w:rPr>
                      <w:rFonts w:ascii="Times New Roman" w:hAnsi="Times New Roman" w:eastAsia="宋体" w:cs="Times New Roman"/>
                      <w:snapToGrid w:val="0"/>
                      <w:szCs w:val="21"/>
                    </w:rPr>
                    <w:t>生产阶段环境管理</w:t>
                  </w:r>
                </w:p>
              </w:tc>
              <w:tc>
                <w:tcPr>
                  <w:tcW w:w="4380" w:type="pct"/>
                  <w:tcBorders>
                    <w:tl2br w:val="nil"/>
                    <w:tr2bl w:val="nil"/>
                  </w:tcBorders>
                  <w:vAlign w:val="center"/>
                </w:tcPr>
                <w:p>
                  <w:pPr>
                    <w:adjustRightInd w:val="0"/>
                    <w:snapToGrid w:val="0"/>
                    <w:rPr>
                      <w:rFonts w:ascii="Times New Roman" w:hAnsi="Times New Roman" w:eastAsia="宋体" w:cs="Times New Roman"/>
                      <w:snapToGrid w:val="0"/>
                      <w:szCs w:val="21"/>
                    </w:rPr>
                  </w:pPr>
                  <w:r>
                    <w:rPr>
                      <w:rFonts w:ascii="Times New Roman" w:hAnsi="Times New Roman" w:eastAsia="宋体" w:cs="Times New Roman"/>
                      <w:snapToGrid w:val="0"/>
                      <w:szCs w:val="21"/>
                    </w:rPr>
                    <w:t>加强环保设备运行检查，确保达产达标、力求降低排污水平</w:t>
                  </w:r>
                  <w:r>
                    <w:rPr>
                      <w:rFonts w:hint="eastAsia" w:ascii="Times New Roman" w:hAnsi="Times New Roman" w:eastAsia="宋体" w:cs="Times New Roman"/>
                      <w:snapToGrid w:val="0"/>
                      <w:szCs w:val="21"/>
                    </w:rPr>
                    <w:t>。严禁废水及堆存原料及产品进入北桥河，污染北桥河。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9" w:type="pct"/>
                  <w:vMerge w:val="continue"/>
                  <w:tcBorders>
                    <w:tl2br w:val="nil"/>
                    <w:tr2bl w:val="nil"/>
                  </w:tcBorders>
                  <w:vAlign w:val="center"/>
                </w:tcPr>
                <w:p>
                  <w:pPr>
                    <w:adjustRightInd w:val="0"/>
                    <w:snapToGrid w:val="0"/>
                    <w:rPr>
                      <w:rFonts w:ascii="Times New Roman" w:hAnsi="Times New Roman" w:eastAsia="宋体" w:cs="Times New Roman"/>
                      <w:snapToGrid w:val="0"/>
                      <w:szCs w:val="21"/>
                    </w:rPr>
                  </w:pPr>
                </w:p>
              </w:tc>
              <w:tc>
                <w:tcPr>
                  <w:tcW w:w="4380" w:type="pct"/>
                  <w:tcBorders>
                    <w:tl2br w:val="nil"/>
                    <w:tr2bl w:val="nil"/>
                  </w:tcBorders>
                  <w:vAlign w:val="center"/>
                </w:tcPr>
                <w:p>
                  <w:pPr>
                    <w:adjustRightInd w:val="0"/>
                    <w:snapToGrid w:val="0"/>
                    <w:rPr>
                      <w:rFonts w:ascii="Times New Roman" w:hAnsi="Times New Roman" w:eastAsia="宋体" w:cs="Times New Roman"/>
                      <w:szCs w:val="21"/>
                    </w:rPr>
                  </w:pPr>
                  <w:r>
                    <w:rPr>
                      <w:rFonts w:ascii="Times New Roman" w:hAnsi="Times New Roman" w:eastAsia="宋体" w:cs="Times New Roman"/>
                      <w:szCs w:val="21"/>
                    </w:rPr>
                    <w:t>（1）明确专人负责厂区环保设施的管理；</w:t>
                  </w:r>
                </w:p>
                <w:p>
                  <w:pPr>
                    <w:adjustRightInd w:val="0"/>
                    <w:snapToGrid w:val="0"/>
                    <w:rPr>
                      <w:rFonts w:ascii="Times New Roman" w:hAnsi="Times New Roman" w:eastAsia="宋体" w:cs="Times New Roman"/>
                      <w:szCs w:val="21"/>
                    </w:rPr>
                  </w:pPr>
                  <w:r>
                    <w:rPr>
                      <w:rFonts w:ascii="Times New Roman" w:hAnsi="Times New Roman" w:eastAsia="宋体" w:cs="Times New Roman"/>
                      <w:szCs w:val="21"/>
                    </w:rPr>
                    <w:t>（2）对各项环保设施操作、维护定量考核，建立环保设施运行档案；</w:t>
                  </w:r>
                </w:p>
                <w:p>
                  <w:pPr>
                    <w:adjustRightInd w:val="0"/>
                    <w:snapToGrid w:val="0"/>
                    <w:rPr>
                      <w:rFonts w:ascii="Times New Roman" w:hAnsi="Times New Roman" w:eastAsia="宋体" w:cs="Times New Roman"/>
                      <w:szCs w:val="21"/>
                    </w:rPr>
                  </w:pPr>
                  <w:r>
                    <w:rPr>
                      <w:rFonts w:ascii="Times New Roman" w:hAnsi="Times New Roman" w:eastAsia="宋体" w:cs="Times New Roman"/>
                      <w:szCs w:val="21"/>
                    </w:rPr>
                    <w:t>（3）合理利用能源、资源、节水、节能；</w:t>
                  </w:r>
                </w:p>
                <w:p>
                  <w:pPr>
                    <w:adjustRightInd w:val="0"/>
                    <w:snapToGrid w:val="0"/>
                    <w:rPr>
                      <w:rFonts w:ascii="Times New Roman" w:hAnsi="Times New Roman" w:eastAsia="宋体" w:cs="Times New Roman"/>
                      <w:szCs w:val="21"/>
                    </w:rPr>
                  </w:pPr>
                  <w:r>
                    <w:rPr>
                      <w:rFonts w:ascii="Times New Roman" w:hAnsi="Times New Roman" w:eastAsia="宋体" w:cs="Times New Roman"/>
                      <w:szCs w:val="21"/>
                    </w:rPr>
                    <w:t>（4）编制突发环境事件应急预案，并到临沧市生态环境局云县分局备案，严格按照应急预案要求进行应急演练；</w:t>
                  </w:r>
                </w:p>
                <w:p>
                  <w:pPr>
                    <w:adjustRightInd w:val="0"/>
                    <w:snapToGrid w:val="0"/>
                    <w:rPr>
                      <w:rFonts w:ascii="Times New Roman" w:hAnsi="Times New Roman" w:eastAsia="宋体" w:cs="Times New Roman"/>
                      <w:szCs w:val="21"/>
                    </w:rPr>
                  </w:pPr>
                  <w:r>
                    <w:rPr>
                      <w:rFonts w:ascii="Times New Roman" w:hAnsi="Times New Roman" w:eastAsia="宋体" w:cs="Times New Roman"/>
                      <w:szCs w:val="21"/>
                    </w:rPr>
                    <w:t>（5）按照排污许可证的要求，严格执行自行监测，并完成相应的执行报告填报工作。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9" w:type="pct"/>
                  <w:vMerge w:val="restart"/>
                  <w:tcBorders>
                    <w:tl2br w:val="nil"/>
                    <w:tr2bl w:val="nil"/>
                  </w:tcBorders>
                  <w:vAlign w:val="center"/>
                </w:tcPr>
                <w:p>
                  <w:pPr>
                    <w:adjustRightInd w:val="0"/>
                    <w:snapToGrid w:val="0"/>
                    <w:rPr>
                      <w:rFonts w:ascii="Times New Roman" w:hAnsi="Times New Roman" w:eastAsia="宋体" w:cs="Times New Roman"/>
                      <w:snapToGrid w:val="0"/>
                      <w:szCs w:val="21"/>
                    </w:rPr>
                  </w:pPr>
                  <w:r>
                    <w:rPr>
                      <w:rFonts w:ascii="Times New Roman" w:hAnsi="Times New Roman" w:eastAsia="宋体" w:cs="Times New Roman"/>
                      <w:snapToGrid w:val="0"/>
                      <w:szCs w:val="21"/>
                    </w:rPr>
                    <w:t>信息反馈和群众监督</w:t>
                  </w:r>
                </w:p>
              </w:tc>
              <w:tc>
                <w:tcPr>
                  <w:tcW w:w="4380" w:type="pct"/>
                  <w:tcBorders>
                    <w:tl2br w:val="nil"/>
                    <w:tr2bl w:val="nil"/>
                  </w:tcBorders>
                  <w:vAlign w:val="center"/>
                </w:tcPr>
                <w:p>
                  <w:pPr>
                    <w:adjustRightInd w:val="0"/>
                    <w:snapToGrid w:val="0"/>
                    <w:rPr>
                      <w:rFonts w:ascii="Times New Roman" w:hAnsi="Times New Roman" w:eastAsia="宋体" w:cs="Times New Roman"/>
                      <w:snapToGrid w:val="0"/>
                      <w:szCs w:val="21"/>
                    </w:rPr>
                  </w:pPr>
                  <w:r>
                    <w:rPr>
                      <w:rFonts w:ascii="Times New Roman" w:hAnsi="Times New Roman" w:eastAsia="宋体" w:cs="Times New Roman"/>
                      <w:snapToGrid w:val="0"/>
                      <w:szCs w:val="21"/>
                    </w:rPr>
                    <w:t>反馈监督数据，加强群众监督，改进污染治理工作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9" w:type="pct"/>
                  <w:vMerge w:val="continue"/>
                  <w:tcBorders>
                    <w:tl2br w:val="nil"/>
                    <w:tr2bl w:val="nil"/>
                  </w:tcBorders>
                  <w:vAlign w:val="center"/>
                </w:tcPr>
                <w:p>
                  <w:pPr>
                    <w:adjustRightInd w:val="0"/>
                    <w:snapToGrid w:val="0"/>
                    <w:rPr>
                      <w:rFonts w:ascii="Times New Roman" w:hAnsi="Times New Roman" w:eastAsia="宋体" w:cs="Times New Roman"/>
                      <w:snapToGrid w:val="0"/>
                      <w:szCs w:val="21"/>
                    </w:rPr>
                  </w:pPr>
                </w:p>
              </w:tc>
              <w:tc>
                <w:tcPr>
                  <w:tcW w:w="4380" w:type="pct"/>
                  <w:tcBorders>
                    <w:tl2br w:val="nil"/>
                    <w:tr2bl w:val="nil"/>
                  </w:tcBorders>
                  <w:vAlign w:val="center"/>
                </w:tcPr>
                <w:p>
                  <w:pPr>
                    <w:adjustRightInd w:val="0"/>
                    <w:snapToGrid w:val="0"/>
                    <w:rPr>
                      <w:rFonts w:ascii="Times New Roman" w:hAnsi="Times New Roman" w:eastAsia="宋体" w:cs="Times New Roman"/>
                      <w:snapToGrid w:val="0"/>
                      <w:szCs w:val="21"/>
                    </w:rPr>
                  </w:pPr>
                  <w:r>
                    <w:rPr>
                      <w:rFonts w:ascii="Times New Roman" w:hAnsi="Times New Roman" w:eastAsia="宋体" w:cs="Times New Roman"/>
                      <w:snapToGrid w:val="0"/>
                      <w:szCs w:val="21"/>
                    </w:rPr>
                    <w:t>（1）建立奖惩制度，保证环保设施正常运转；</w:t>
                  </w:r>
                </w:p>
                <w:p>
                  <w:pPr>
                    <w:adjustRightInd w:val="0"/>
                    <w:snapToGrid w:val="0"/>
                    <w:rPr>
                      <w:rFonts w:ascii="Times New Roman" w:hAnsi="Times New Roman" w:eastAsia="宋体" w:cs="Times New Roman"/>
                      <w:snapToGrid w:val="0"/>
                      <w:szCs w:val="21"/>
                    </w:rPr>
                  </w:pPr>
                  <w:r>
                    <w:rPr>
                      <w:rFonts w:ascii="Times New Roman" w:hAnsi="Times New Roman" w:eastAsia="宋体" w:cs="Times New Roman"/>
                      <w:snapToGrid w:val="0"/>
                      <w:szCs w:val="21"/>
                    </w:rPr>
                    <w:t>（2）归纳整理监督数据，技术部门配合进行工艺改进；</w:t>
                  </w:r>
                </w:p>
                <w:p>
                  <w:pPr>
                    <w:adjustRightInd w:val="0"/>
                    <w:snapToGrid w:val="0"/>
                    <w:rPr>
                      <w:rFonts w:ascii="Times New Roman" w:hAnsi="Times New Roman" w:eastAsia="宋体" w:cs="Times New Roman"/>
                      <w:snapToGrid w:val="0"/>
                      <w:szCs w:val="21"/>
                    </w:rPr>
                  </w:pPr>
                  <w:r>
                    <w:rPr>
                      <w:rFonts w:ascii="Times New Roman" w:hAnsi="Times New Roman" w:eastAsia="宋体" w:cs="Times New Roman"/>
                      <w:snapToGrid w:val="0"/>
                      <w:szCs w:val="21"/>
                    </w:rPr>
                    <w:t>（3）配合生态环境部门的检查验收。</w:t>
                  </w:r>
                </w:p>
              </w:tc>
            </w:tr>
          </w:tbl>
          <w:p>
            <w:pPr>
              <w:widowControl/>
              <w:adjustRightInd w:val="0"/>
              <w:snapToGrid w:val="0"/>
              <w:spacing w:line="360" w:lineRule="auto"/>
              <w:ind w:firstLine="482" w:firstLineChars="200"/>
              <w:outlineLvl w:val="1"/>
              <w:rPr>
                <w:rFonts w:ascii="Times New Roman" w:hAnsi="Times New Roman" w:eastAsia="宋体" w:cs="Times New Roman"/>
                <w:sz w:val="24"/>
              </w:rPr>
            </w:pPr>
            <w:r>
              <w:rPr>
                <w:rFonts w:ascii="Times New Roman" w:hAnsi="Times New Roman" w:eastAsia="宋体" w:cs="Times New Roman"/>
                <w:b/>
                <w:bCs/>
                <w:kern w:val="0"/>
                <w:sz w:val="24"/>
                <w:lang w:bidi="ar"/>
              </w:rPr>
              <w:t>2、</w:t>
            </w:r>
            <w:r>
              <w:rPr>
                <w:rFonts w:ascii="Times New Roman" w:hAnsi="Times New Roman" w:eastAsia="宋体" w:cs="Times New Roman"/>
                <w:b/>
                <w:kern w:val="0"/>
                <w:sz w:val="24"/>
                <w:lang w:bidi="ar"/>
              </w:rPr>
              <w:t>与排污许可证的衔接要求</w:t>
            </w:r>
          </w:p>
          <w:p>
            <w:pPr>
              <w:widowControl/>
              <w:adjustRightInd w:val="0"/>
              <w:snapToGrid w:val="0"/>
              <w:spacing w:line="360" w:lineRule="auto"/>
              <w:ind w:firstLine="480" w:firstLineChars="200"/>
              <w:rPr>
                <w:rFonts w:ascii="Times New Roman" w:hAnsi="Times New Roman" w:eastAsia="宋体" w:cs="Times New Roman"/>
                <w:kern w:val="0"/>
                <w:sz w:val="24"/>
                <w:lang w:bidi="ar"/>
              </w:rPr>
            </w:pPr>
            <w:r>
              <w:rPr>
                <w:rFonts w:ascii="Times New Roman" w:hAnsi="Times New Roman" w:eastAsia="宋体" w:cs="Times New Roman"/>
                <w:kern w:val="0"/>
                <w:sz w:val="24"/>
                <w:lang w:bidi="ar"/>
              </w:rPr>
              <w:t>本项目是《固定污染源排污许可分类管理名录（2019年版）》中的</w:t>
            </w:r>
            <w:r>
              <w:rPr>
                <w:rFonts w:ascii="Times New Roman" w:hAnsi="Times New Roman" w:eastAsia="宋体" w:cs="Times New Roman"/>
                <w:sz w:val="24"/>
              </w:rPr>
              <w:t>“二十</w:t>
            </w:r>
            <w:r>
              <w:rPr>
                <w:rFonts w:hint="eastAsia" w:ascii="Times New Roman" w:hAnsi="Times New Roman" w:eastAsia="宋体" w:cs="Times New Roman"/>
                <w:sz w:val="24"/>
              </w:rPr>
              <w:t>五</w:t>
            </w:r>
            <w:r>
              <w:rPr>
                <w:rFonts w:ascii="Times New Roman" w:hAnsi="Times New Roman" w:eastAsia="宋体" w:cs="Times New Roman"/>
                <w:sz w:val="24"/>
              </w:rPr>
              <w:t>、非金属矿物制品业 30”，</w:t>
            </w:r>
            <w:r>
              <w:rPr>
                <w:rFonts w:ascii="Times New Roman" w:hAnsi="Times New Roman" w:eastAsia="宋体" w:cs="Times New Roman"/>
                <w:kern w:val="0"/>
                <w:sz w:val="24"/>
                <w:lang w:bidi="ar"/>
              </w:rPr>
              <w:t>“6</w:t>
            </w:r>
            <w:r>
              <w:rPr>
                <w:rFonts w:hint="eastAsia" w:ascii="Times New Roman" w:hAnsi="Times New Roman" w:eastAsia="宋体" w:cs="Times New Roman"/>
                <w:kern w:val="0"/>
                <w:sz w:val="24"/>
                <w:lang w:bidi="ar"/>
              </w:rPr>
              <w:t>4</w:t>
            </w:r>
            <w:r>
              <w:rPr>
                <w:rFonts w:ascii="Times New Roman" w:hAnsi="Times New Roman" w:eastAsia="宋体" w:cs="Times New Roman"/>
                <w:kern w:val="0"/>
                <w:sz w:val="24"/>
                <w:lang w:bidi="ar"/>
              </w:rPr>
              <w:t>砖瓦、石材等建筑材料制造 303”中的“其他建筑材料制造3039”，属于</w:t>
            </w:r>
            <w:r>
              <w:rPr>
                <w:rFonts w:hint="eastAsia" w:ascii="Times New Roman" w:hAnsi="Times New Roman" w:eastAsia="宋体" w:cs="Times New Roman"/>
                <w:kern w:val="0"/>
                <w:sz w:val="24"/>
                <w:lang w:bidi="ar"/>
              </w:rPr>
              <w:t>简化</w:t>
            </w:r>
            <w:r>
              <w:rPr>
                <w:rFonts w:ascii="Times New Roman" w:hAnsi="Times New Roman" w:eastAsia="宋体" w:cs="Times New Roman"/>
                <w:kern w:val="0"/>
                <w:sz w:val="24"/>
                <w:lang w:bidi="ar"/>
              </w:rPr>
              <w:t>管理。</w:t>
            </w:r>
          </w:p>
          <w:p>
            <w:pPr>
              <w:widowControl/>
              <w:adjustRightInd w:val="0"/>
              <w:snapToGrid w:val="0"/>
              <w:spacing w:line="360" w:lineRule="auto"/>
              <w:ind w:firstLine="482" w:firstLineChars="200"/>
              <w:rPr>
                <w:rFonts w:ascii="Times New Roman" w:hAnsi="Times New Roman" w:eastAsia="宋体" w:cs="Times New Roman"/>
                <w:b/>
                <w:bCs/>
                <w:sz w:val="24"/>
              </w:rPr>
            </w:pPr>
            <w:r>
              <w:rPr>
                <w:rFonts w:ascii="Times New Roman" w:hAnsi="Times New Roman" w:eastAsia="宋体" w:cs="Times New Roman"/>
                <w:b/>
                <w:kern w:val="0"/>
                <w:sz w:val="24"/>
                <w:lang w:bidi="ar"/>
              </w:rPr>
              <w:t>3、</w:t>
            </w:r>
            <w:r>
              <w:rPr>
                <w:rFonts w:ascii="Times New Roman" w:hAnsi="Times New Roman" w:eastAsia="宋体" w:cs="Times New Roman"/>
                <w:b/>
                <w:bCs/>
                <w:kern w:val="0"/>
                <w:sz w:val="24"/>
                <w:lang w:bidi="ar"/>
              </w:rPr>
              <w:t>排放口规范化</w:t>
            </w:r>
          </w:p>
          <w:p>
            <w:pPr>
              <w:widowControl/>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kern w:val="0"/>
                <w:sz w:val="24"/>
                <w:lang w:bidi="ar"/>
              </w:rPr>
              <w:t>根据国家环境保护总局《关于开展排放口规范化整治工作的通知》（环发〔1999〕24号）和《排放口规范化整治技术要求（试行）》（环监[1996]470号）等规定的要求，一切新建、改扩建、改建的排污单位以及限期治理的排污单位必须在建设污染治理设施的同时，建设规范化排放口。因此，建设项目产生的各类污染物排放口必须规范化，而且规范化工作的完成必须与污染治理设施同步。</w:t>
            </w:r>
          </w:p>
          <w:p>
            <w:pPr>
              <w:widowControl/>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kern w:val="0"/>
                <w:sz w:val="24"/>
                <w:lang w:bidi="ar"/>
              </w:rPr>
              <w:t>①项目产生的一般固废为生产过程中产生的生活垃圾、</w:t>
            </w:r>
            <w:r>
              <w:rPr>
                <w:rFonts w:hint="eastAsia" w:ascii="Times New Roman" w:hAnsi="Times New Roman" w:eastAsia="宋体" w:cs="Times New Roman"/>
                <w:kern w:val="0"/>
                <w:sz w:val="24"/>
                <w:lang w:bidi="ar"/>
              </w:rPr>
              <w:t>污泥</w:t>
            </w:r>
            <w:r>
              <w:rPr>
                <w:rFonts w:ascii="Times New Roman" w:hAnsi="Times New Roman" w:eastAsia="宋体" w:cs="Times New Roman"/>
                <w:kern w:val="0"/>
                <w:sz w:val="24"/>
                <w:lang w:bidi="ar"/>
              </w:rPr>
              <w:t>、废</w:t>
            </w:r>
            <w:r>
              <w:rPr>
                <w:rFonts w:hint="eastAsia" w:ascii="Times New Roman" w:hAnsi="Times New Roman" w:eastAsia="宋体" w:cs="Times New Roman"/>
                <w:kern w:val="0"/>
                <w:sz w:val="24"/>
                <w:lang w:bidi="ar"/>
              </w:rPr>
              <w:t>润滑油</w:t>
            </w:r>
            <w:r>
              <w:rPr>
                <w:rFonts w:ascii="Times New Roman" w:hAnsi="Times New Roman" w:eastAsia="宋体" w:cs="Times New Roman"/>
                <w:kern w:val="0"/>
                <w:sz w:val="24"/>
                <w:lang w:bidi="ar"/>
              </w:rPr>
              <w:t>。</w:t>
            </w:r>
          </w:p>
          <w:p>
            <w:pPr>
              <w:widowControl/>
              <w:adjustRightInd w:val="0"/>
              <w:snapToGrid w:val="0"/>
              <w:spacing w:line="360" w:lineRule="auto"/>
              <w:ind w:firstLine="480" w:firstLineChars="200"/>
              <w:rPr>
                <w:rFonts w:ascii="Times New Roman" w:hAnsi="Times New Roman" w:eastAsia="宋体" w:cs="Times New Roman"/>
                <w:kern w:val="0"/>
                <w:sz w:val="24"/>
                <w:lang w:bidi="ar"/>
              </w:rPr>
            </w:pPr>
            <w:r>
              <w:rPr>
                <w:rFonts w:ascii="Times New Roman" w:hAnsi="Times New Roman" w:eastAsia="宋体" w:cs="Times New Roman"/>
                <w:kern w:val="0"/>
                <w:sz w:val="24"/>
                <w:lang w:bidi="ar"/>
              </w:rPr>
              <w:t>②主要固定噪声源附近应设置环境保护图形标志牌。</w:t>
            </w:r>
          </w:p>
          <w:p>
            <w:pPr>
              <w:widowControl/>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kern w:val="0"/>
                <w:sz w:val="24"/>
                <w:lang w:bidi="ar"/>
              </w:rPr>
              <w:t>③危险固废（废润滑油、废活性炭）暂存在危废暂存间，委托有资质单位清运处置。</w:t>
            </w:r>
          </w:p>
          <w:p>
            <w:pPr>
              <w:widowControl/>
              <w:adjustRightInd w:val="0"/>
              <w:snapToGrid w:val="0"/>
              <w:spacing w:line="360" w:lineRule="auto"/>
              <w:ind w:firstLine="480" w:firstLineChars="200"/>
              <w:rPr>
                <w:rFonts w:ascii="Times New Roman" w:hAnsi="Times New Roman" w:eastAsia="宋体" w:cs="Times New Roman"/>
                <w:kern w:val="0"/>
                <w:sz w:val="24"/>
                <w:lang w:bidi="ar"/>
              </w:rPr>
            </w:pPr>
            <w:r>
              <w:rPr>
                <w:rFonts w:ascii="Times New Roman" w:hAnsi="Times New Roman" w:eastAsia="宋体" w:cs="Times New Roman"/>
                <w:kern w:val="0"/>
                <w:sz w:val="24"/>
                <w:lang w:bidi="ar"/>
              </w:rPr>
              <w:t>本项目建成后，应将上述所有排放污染物名称、数量等内容进行统计，并登记上报当地环保部门，以便进行验收和排放的规范化管理。</w:t>
            </w:r>
          </w:p>
          <w:p>
            <w:pPr>
              <w:widowControl/>
              <w:adjustRightInd w:val="0"/>
              <w:snapToGrid w:val="0"/>
              <w:spacing w:line="360" w:lineRule="auto"/>
              <w:ind w:firstLine="482" w:firstLineChars="200"/>
              <w:rPr>
                <w:rFonts w:ascii="Times New Roman" w:hAnsi="Times New Roman" w:eastAsia="宋体" w:cs="Times New Roman"/>
                <w:b/>
                <w:kern w:val="0"/>
                <w:sz w:val="24"/>
                <w:lang w:bidi="ar"/>
              </w:rPr>
            </w:pPr>
            <w:r>
              <w:rPr>
                <w:rFonts w:ascii="Times New Roman" w:hAnsi="Times New Roman" w:eastAsia="宋体" w:cs="Times New Roman"/>
                <w:b/>
                <w:kern w:val="0"/>
                <w:sz w:val="24"/>
                <w:lang w:bidi="ar"/>
              </w:rPr>
              <w:t>4、项目环保自行验收内容</w:t>
            </w:r>
          </w:p>
          <w:p>
            <w:pPr>
              <w:pStyle w:val="25"/>
              <w:widowControl w:val="0"/>
              <w:tabs>
                <w:tab w:val="center" w:pos="4153"/>
                <w:tab w:val="right" w:pos="8306"/>
              </w:tabs>
              <w:adjustRightInd w:val="0"/>
              <w:snapToGrid w:val="0"/>
              <w:spacing w:before="0" w:beforeAutospacing="0" w:after="0" w:afterAutospacing="0" w:line="360" w:lineRule="auto"/>
              <w:ind w:firstLine="480" w:firstLineChars="200"/>
              <w:jc w:val="both"/>
              <w:rPr>
                <w:rFonts w:ascii="Times New Roman" w:hAnsi="Times New Roman" w:eastAsia="宋体" w:cs="Times New Roman"/>
                <w:lang w:bidi="ar"/>
              </w:rPr>
            </w:pPr>
            <w:r>
              <w:rPr>
                <w:rFonts w:ascii="Times New Roman" w:hAnsi="Times New Roman" w:eastAsia="宋体" w:cs="Times New Roman"/>
                <w:lang w:bidi="ar"/>
              </w:rPr>
              <w:t>《建设项目竣工环境保护验收暂行办法》（国环规环评（2017）4号）规定：建设单位是建设项目竣工环境保护验收的责任主体，应当按照本办法规定的程序和标准，组织对配套建设的环境保护设施进行验收，编制验收报告，公开相关信息，接受社会监督，确保建设项目需要配套建设的环境保护设施与主体工程同时投产或者使用，并对验收内容、结论和所公开信息的真实性、准确性和完整性负责，不得在验收过程中弄虚作假。本项目环保竣工“三同时”竣工验收内容见表4-</w:t>
            </w:r>
            <w:r>
              <w:rPr>
                <w:rFonts w:hint="eastAsia" w:ascii="Times New Roman" w:hAnsi="Times New Roman" w:eastAsia="宋体" w:cs="Times New Roman"/>
                <w:lang w:bidi="ar"/>
              </w:rPr>
              <w:t>22</w:t>
            </w:r>
            <w:r>
              <w:rPr>
                <w:rFonts w:ascii="Times New Roman" w:hAnsi="Times New Roman" w:eastAsia="宋体" w:cs="Times New Roman"/>
                <w:lang w:bidi="ar"/>
              </w:rPr>
              <w:t>。</w:t>
            </w:r>
          </w:p>
          <w:p>
            <w:pPr>
              <w:adjustRightInd w:val="0"/>
              <w:snapToGrid w:val="0"/>
              <w:jc w:val="center"/>
              <w:rPr>
                <w:rFonts w:ascii="Times New Roman" w:hAnsi="Times New Roman" w:eastAsia="宋体" w:cs="Times New Roman"/>
                <w:b/>
                <w:szCs w:val="21"/>
                <w:lang w:val="en-GB"/>
              </w:rPr>
            </w:pPr>
            <w:r>
              <w:rPr>
                <w:rFonts w:ascii="Times New Roman" w:hAnsi="Times New Roman" w:eastAsia="宋体" w:cs="Times New Roman"/>
                <w:b/>
                <w:szCs w:val="21"/>
                <w:lang w:val="en-GB"/>
              </w:rPr>
              <w:t>表</w:t>
            </w:r>
            <w:r>
              <w:rPr>
                <w:rFonts w:ascii="Times New Roman" w:hAnsi="Times New Roman" w:eastAsia="宋体" w:cs="Times New Roman"/>
                <w:b/>
                <w:szCs w:val="21"/>
              </w:rPr>
              <w:t>4-</w:t>
            </w:r>
            <w:r>
              <w:rPr>
                <w:rFonts w:hint="eastAsia" w:ascii="Times New Roman" w:hAnsi="Times New Roman" w:eastAsia="宋体" w:cs="Times New Roman"/>
                <w:b/>
                <w:szCs w:val="21"/>
              </w:rPr>
              <w:t>22</w:t>
            </w:r>
            <w:r>
              <w:rPr>
                <w:rFonts w:ascii="Times New Roman" w:hAnsi="Times New Roman" w:eastAsia="宋体" w:cs="Times New Roman"/>
                <w:b/>
                <w:szCs w:val="21"/>
              </w:rPr>
              <w:t xml:space="preserve"> </w:t>
            </w:r>
            <w:r>
              <w:rPr>
                <w:rFonts w:ascii="Times New Roman" w:hAnsi="Times New Roman" w:eastAsia="宋体" w:cs="Times New Roman"/>
                <w:b/>
                <w:szCs w:val="21"/>
                <w:lang w:val="en-GB"/>
              </w:rPr>
              <w:t>项目竣工环保设施验收一览表</w:t>
            </w:r>
          </w:p>
          <w:tbl>
            <w:tblPr>
              <w:tblStyle w:val="30"/>
              <w:tblW w:w="4978" w:type="pct"/>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1"/>
              <w:gridCol w:w="1274"/>
              <w:gridCol w:w="3070"/>
              <w:gridCol w:w="2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08" w:type="pct"/>
                  <w:tcBorders>
                    <w:tl2br w:val="nil"/>
                    <w:tr2bl w:val="nil"/>
                  </w:tcBorders>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类别</w:t>
                  </w:r>
                </w:p>
              </w:tc>
              <w:tc>
                <w:tcPr>
                  <w:tcW w:w="851" w:type="pct"/>
                  <w:tcBorders>
                    <w:tl2br w:val="nil"/>
                    <w:tr2bl w:val="nil"/>
                  </w:tcBorders>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治理对象</w:t>
                  </w:r>
                </w:p>
              </w:tc>
              <w:tc>
                <w:tcPr>
                  <w:tcW w:w="2049" w:type="pct"/>
                  <w:tcBorders>
                    <w:tl2br w:val="nil"/>
                    <w:tr2bl w:val="nil"/>
                  </w:tcBorders>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处理方法/设施</w:t>
                  </w:r>
                </w:p>
              </w:tc>
              <w:tc>
                <w:tcPr>
                  <w:tcW w:w="1690" w:type="pct"/>
                  <w:tcBorders>
                    <w:tl2br w:val="nil"/>
                    <w:tr2bl w:val="nil"/>
                  </w:tcBorders>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验收指标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08" w:type="pct"/>
                  <w:vMerge w:val="restart"/>
                  <w:tcBorders>
                    <w:tl2br w:val="nil"/>
                    <w:tr2bl w:val="nil"/>
                  </w:tcBorders>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废气</w:t>
                  </w:r>
                </w:p>
              </w:tc>
              <w:tc>
                <w:tcPr>
                  <w:tcW w:w="851" w:type="pct"/>
                  <w:vMerge w:val="restart"/>
                  <w:tcBorders>
                    <w:tl2br w:val="nil"/>
                    <w:tr2bl w:val="nil"/>
                  </w:tcBorders>
                  <w:vAlign w:val="center"/>
                </w:tcPr>
                <w:p>
                  <w:pPr>
                    <w:pStyle w:val="76"/>
                    <w:widowControl w:val="0"/>
                    <w:jc w:val="center"/>
                    <w:rPr>
                      <w:rFonts w:ascii="Times New Roman" w:hAnsi="Times New Roman"/>
                      <w:bCs/>
                      <w:sz w:val="21"/>
                      <w:szCs w:val="21"/>
                    </w:rPr>
                  </w:pPr>
                  <w:r>
                    <w:rPr>
                      <w:rFonts w:hint="eastAsia" w:ascii="Times New Roman" w:hAnsi="Times New Roman"/>
                      <w:bCs/>
                      <w:sz w:val="21"/>
                      <w:szCs w:val="21"/>
                    </w:rPr>
                    <w:t>粉尘</w:t>
                  </w:r>
                </w:p>
              </w:tc>
              <w:tc>
                <w:tcPr>
                  <w:tcW w:w="2049" w:type="pct"/>
                  <w:tcBorders>
                    <w:tl2br w:val="nil"/>
                    <w:tr2bl w:val="nil"/>
                  </w:tcBorders>
                  <w:vAlign w:val="center"/>
                </w:tcPr>
                <w:p>
                  <w:pPr>
                    <w:pStyle w:val="76"/>
                    <w:widowControl w:val="0"/>
                    <w:jc w:val="center"/>
                    <w:rPr>
                      <w:rFonts w:ascii="Times New Roman" w:hAnsi="Times New Roman"/>
                      <w:bCs/>
                      <w:sz w:val="21"/>
                      <w:szCs w:val="21"/>
                    </w:rPr>
                  </w:pPr>
                  <w:r>
                    <w:rPr>
                      <w:rFonts w:hint="eastAsia" w:ascii="Times New Roman" w:hAnsi="Times New Roman"/>
                      <w:sz w:val="21"/>
                      <w:szCs w:val="21"/>
                    </w:rPr>
                    <w:t>雾炮机6</w:t>
                  </w:r>
                  <w:r>
                    <w:rPr>
                      <w:rFonts w:ascii="Times New Roman" w:hAnsi="Times New Roman"/>
                      <w:sz w:val="21"/>
                      <w:szCs w:val="21"/>
                    </w:rPr>
                    <w:t>台</w:t>
                  </w:r>
                </w:p>
              </w:tc>
              <w:tc>
                <w:tcPr>
                  <w:tcW w:w="1690" w:type="pct"/>
                  <w:vMerge w:val="restart"/>
                  <w:tcBorders>
                    <w:tl2br w:val="nil"/>
                    <w:tr2bl w:val="nil"/>
                  </w:tcBorders>
                  <w:vAlign w:val="center"/>
                </w:tcPr>
                <w:p>
                  <w:pPr>
                    <w:adjustRightInd w:val="0"/>
                    <w:snapToGrid w:val="0"/>
                    <w:jc w:val="center"/>
                    <w:rPr>
                      <w:rFonts w:ascii="Times New Roman" w:hAnsi="Times New Roman" w:eastAsia="宋体" w:cs="Times New Roman"/>
                      <w:bCs/>
                      <w:szCs w:val="21"/>
                      <w:lang w:val="en-GB"/>
                    </w:rPr>
                  </w:pPr>
                  <w:r>
                    <w:rPr>
                      <w:rFonts w:ascii="Times New Roman" w:hAnsi="Times New Roman" w:eastAsia="宋体" w:cs="Times New Roman"/>
                      <w:kern w:val="0"/>
                      <w:szCs w:val="21"/>
                      <w:lang w:bidi="ar"/>
                    </w:rPr>
                    <w:t>执行</w:t>
                  </w:r>
                  <w:r>
                    <w:rPr>
                      <w:rFonts w:ascii="Times New Roman" w:hAnsi="Times New Roman" w:eastAsia="宋体" w:cs="Times New Roman"/>
                      <w:szCs w:val="21"/>
                    </w:rPr>
                    <w:t>《大气污染物综合排放标准》（GB16297-1996）表2新污染源大气污染物排放限值中的无组织排放监控浓度限值。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08" w:type="pct"/>
                  <w:vMerge w:val="continue"/>
                  <w:tcBorders>
                    <w:tl2br w:val="nil"/>
                    <w:tr2bl w:val="nil"/>
                  </w:tcBorders>
                  <w:vAlign w:val="center"/>
                </w:tcPr>
                <w:p>
                  <w:pPr>
                    <w:adjustRightInd w:val="0"/>
                    <w:snapToGrid w:val="0"/>
                    <w:jc w:val="center"/>
                    <w:rPr>
                      <w:rFonts w:ascii="Times New Roman" w:hAnsi="Times New Roman" w:eastAsia="宋体" w:cs="Times New Roman"/>
                      <w:bCs/>
                      <w:szCs w:val="21"/>
                    </w:rPr>
                  </w:pPr>
                </w:p>
              </w:tc>
              <w:tc>
                <w:tcPr>
                  <w:tcW w:w="851" w:type="pct"/>
                  <w:vMerge w:val="continue"/>
                  <w:tcBorders>
                    <w:tl2br w:val="nil"/>
                    <w:tr2bl w:val="nil"/>
                  </w:tcBorders>
                  <w:vAlign w:val="center"/>
                </w:tcPr>
                <w:p>
                  <w:pPr>
                    <w:pStyle w:val="76"/>
                    <w:widowControl w:val="0"/>
                    <w:jc w:val="center"/>
                    <w:rPr>
                      <w:rFonts w:ascii="Times New Roman" w:hAnsi="Times New Roman"/>
                      <w:bCs/>
                      <w:sz w:val="21"/>
                      <w:szCs w:val="21"/>
                    </w:rPr>
                  </w:pPr>
                </w:p>
              </w:tc>
              <w:tc>
                <w:tcPr>
                  <w:tcW w:w="2049" w:type="pct"/>
                  <w:tcBorders>
                    <w:tl2br w:val="nil"/>
                    <w:tr2bl w:val="nil"/>
                  </w:tcBorders>
                  <w:vAlign w:val="center"/>
                </w:tcPr>
                <w:p>
                  <w:pPr>
                    <w:pStyle w:val="76"/>
                    <w:widowControl w:val="0"/>
                    <w:jc w:val="both"/>
                    <w:rPr>
                      <w:rFonts w:ascii="Times New Roman" w:hAnsi="Times New Roman"/>
                      <w:bCs/>
                      <w:sz w:val="21"/>
                      <w:szCs w:val="21"/>
                    </w:rPr>
                  </w:pPr>
                  <w:r>
                    <w:rPr>
                      <w:rFonts w:hint="eastAsia" w:ascii="Times New Roman" w:hAnsi="Times New Roman"/>
                      <w:sz w:val="21"/>
                      <w:szCs w:val="21"/>
                    </w:rPr>
                    <w:t>喷洒头1套</w:t>
                  </w:r>
                  <w:r>
                    <w:rPr>
                      <w:rFonts w:ascii="Times New Roman" w:hAnsi="Times New Roman"/>
                      <w:sz w:val="21"/>
                      <w:szCs w:val="21"/>
                    </w:rPr>
                    <w:t>、</w:t>
                  </w:r>
                  <w:r>
                    <w:rPr>
                      <w:rFonts w:hint="eastAsia" w:ascii="Times New Roman" w:hAnsi="Times New Roman"/>
                      <w:sz w:val="21"/>
                      <w:szCs w:val="21"/>
                    </w:rPr>
                    <w:t>布置于破碎机、振动筛、下料口处</w:t>
                  </w:r>
                </w:p>
              </w:tc>
              <w:tc>
                <w:tcPr>
                  <w:tcW w:w="1690" w:type="pct"/>
                  <w:vMerge w:val="continue"/>
                  <w:tcBorders>
                    <w:tl2br w:val="nil"/>
                    <w:tr2bl w:val="nil"/>
                  </w:tcBorders>
                  <w:vAlign w:val="center"/>
                </w:tcPr>
                <w:p>
                  <w:pPr>
                    <w:adjustRightInd w:val="0"/>
                    <w:snapToGrid w:val="0"/>
                    <w:jc w:val="center"/>
                    <w:rPr>
                      <w:rFonts w:ascii="Times New Roman" w:hAnsi="Times New Roman" w:eastAsia="宋体" w:cs="Times New Roman"/>
                      <w:bCs/>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08" w:type="pct"/>
                  <w:vMerge w:val="continue"/>
                  <w:tcBorders>
                    <w:tl2br w:val="nil"/>
                    <w:tr2bl w:val="nil"/>
                  </w:tcBorders>
                  <w:vAlign w:val="center"/>
                </w:tcPr>
                <w:p>
                  <w:pPr>
                    <w:adjustRightInd w:val="0"/>
                    <w:snapToGrid w:val="0"/>
                    <w:jc w:val="center"/>
                    <w:rPr>
                      <w:rFonts w:ascii="Times New Roman" w:hAnsi="Times New Roman" w:eastAsia="宋体" w:cs="Times New Roman"/>
                      <w:bCs/>
                      <w:szCs w:val="21"/>
                    </w:rPr>
                  </w:pPr>
                </w:p>
              </w:tc>
              <w:tc>
                <w:tcPr>
                  <w:tcW w:w="851" w:type="pct"/>
                  <w:vMerge w:val="continue"/>
                  <w:tcBorders>
                    <w:tl2br w:val="nil"/>
                    <w:tr2bl w:val="nil"/>
                  </w:tcBorders>
                  <w:vAlign w:val="center"/>
                </w:tcPr>
                <w:p>
                  <w:pPr>
                    <w:pStyle w:val="76"/>
                    <w:widowControl w:val="0"/>
                    <w:jc w:val="center"/>
                    <w:rPr>
                      <w:rFonts w:ascii="Times New Roman" w:hAnsi="Times New Roman"/>
                      <w:bCs/>
                      <w:sz w:val="21"/>
                      <w:szCs w:val="21"/>
                    </w:rPr>
                  </w:pPr>
                </w:p>
              </w:tc>
              <w:tc>
                <w:tcPr>
                  <w:tcW w:w="2049" w:type="pct"/>
                  <w:tcBorders>
                    <w:tl2br w:val="nil"/>
                    <w:tr2bl w:val="nil"/>
                  </w:tcBorders>
                  <w:vAlign w:val="center"/>
                </w:tcPr>
                <w:p>
                  <w:pPr>
                    <w:pStyle w:val="76"/>
                    <w:widowControl w:val="0"/>
                    <w:jc w:val="both"/>
                    <w:rPr>
                      <w:rFonts w:ascii="Times New Roman" w:hAnsi="Times New Roman"/>
                      <w:spacing w:val="9"/>
                      <w:sz w:val="21"/>
                      <w:szCs w:val="21"/>
                    </w:rPr>
                  </w:pPr>
                  <w:r>
                    <w:rPr>
                      <w:rFonts w:hint="eastAsia" w:ascii="Times New Roman" w:hAnsi="Times New Roman"/>
                      <w:spacing w:val="6"/>
                      <w:sz w:val="21"/>
                      <w:szCs w:val="21"/>
                    </w:rPr>
                    <w:t>车辆清洗池</w:t>
                  </w:r>
                  <w:r>
                    <w:rPr>
                      <w:rFonts w:ascii="Times New Roman" w:hAnsi="Times New Roman" w:eastAsia="Times New Roman"/>
                      <w:spacing w:val="6"/>
                      <w:sz w:val="21"/>
                      <w:szCs w:val="21"/>
                    </w:rPr>
                    <w:t>1</w:t>
                  </w:r>
                  <w:r>
                    <w:rPr>
                      <w:spacing w:val="6"/>
                      <w:sz w:val="21"/>
                      <w:szCs w:val="21"/>
                    </w:rPr>
                    <w:t>座，容积</w:t>
                  </w:r>
                  <w:r>
                    <w:rPr>
                      <w:rFonts w:hint="eastAsia"/>
                      <w:spacing w:val="6"/>
                      <w:sz w:val="21"/>
                      <w:szCs w:val="21"/>
                    </w:rPr>
                    <w:t>3</w:t>
                  </w:r>
                  <w:r>
                    <w:rPr>
                      <w:rFonts w:ascii="Times New Roman" w:hAnsi="Times New Roman" w:eastAsia="Times New Roman"/>
                      <w:spacing w:val="6"/>
                      <w:sz w:val="21"/>
                      <w:szCs w:val="21"/>
                    </w:rPr>
                    <w:t>0m</w:t>
                  </w:r>
                  <w:r>
                    <w:rPr>
                      <w:rFonts w:hint="eastAsia" w:ascii="Times New Roman" w:hAnsi="Times New Roman"/>
                      <w:spacing w:val="6"/>
                      <w:sz w:val="21"/>
                      <w:szCs w:val="21"/>
                      <w:vertAlign w:val="superscript"/>
                    </w:rPr>
                    <w:t>3</w:t>
                  </w:r>
                  <w:r>
                    <w:rPr>
                      <w:spacing w:val="6"/>
                      <w:sz w:val="21"/>
                      <w:szCs w:val="21"/>
                    </w:rPr>
                    <w:t>，位于厂区出入口，用于运输车</w:t>
                  </w:r>
                  <w:r>
                    <w:rPr>
                      <w:spacing w:val="8"/>
                      <w:sz w:val="21"/>
                      <w:szCs w:val="21"/>
                    </w:rPr>
                    <w:t>辆轮胎清洗及废水沉淀。</w:t>
                  </w:r>
                </w:p>
              </w:tc>
              <w:tc>
                <w:tcPr>
                  <w:tcW w:w="1690" w:type="pct"/>
                  <w:vMerge w:val="continue"/>
                  <w:tcBorders>
                    <w:tl2br w:val="nil"/>
                    <w:tr2bl w:val="nil"/>
                  </w:tcBorders>
                  <w:vAlign w:val="center"/>
                </w:tcPr>
                <w:p>
                  <w:pPr>
                    <w:adjustRightInd w:val="0"/>
                    <w:snapToGrid w:val="0"/>
                    <w:jc w:val="center"/>
                    <w:rPr>
                      <w:rFonts w:ascii="Times New Roman" w:hAnsi="Times New Roman" w:eastAsia="宋体" w:cs="Times New Roman"/>
                      <w:bCs/>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408" w:type="pct"/>
                  <w:vMerge w:val="restart"/>
                  <w:tcBorders>
                    <w:tl2br w:val="nil"/>
                    <w:tr2bl w:val="nil"/>
                  </w:tcBorders>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废水</w:t>
                  </w:r>
                </w:p>
              </w:tc>
              <w:tc>
                <w:tcPr>
                  <w:tcW w:w="851" w:type="pct"/>
                  <w:tcBorders>
                    <w:tl2br w:val="nil"/>
                    <w:tr2bl w:val="nil"/>
                  </w:tcBorders>
                  <w:vAlign w:val="center"/>
                </w:tcPr>
                <w:p>
                  <w:pPr>
                    <w:pStyle w:val="76"/>
                    <w:widowControl w:val="0"/>
                    <w:jc w:val="center"/>
                    <w:rPr>
                      <w:rFonts w:ascii="Times New Roman" w:hAnsi="Times New Roman"/>
                      <w:bCs/>
                      <w:kern w:val="2"/>
                      <w:sz w:val="21"/>
                      <w:szCs w:val="21"/>
                    </w:rPr>
                  </w:pPr>
                  <w:r>
                    <w:rPr>
                      <w:rFonts w:hint="eastAsia" w:ascii="Times New Roman" w:hAnsi="Times New Roman"/>
                      <w:sz w:val="21"/>
                      <w:szCs w:val="21"/>
                    </w:rPr>
                    <w:t>生产废水</w:t>
                  </w:r>
                </w:p>
              </w:tc>
              <w:tc>
                <w:tcPr>
                  <w:tcW w:w="2049" w:type="pct"/>
                  <w:tcBorders>
                    <w:tl2br w:val="nil"/>
                    <w:tr2bl w:val="nil"/>
                  </w:tcBorders>
                  <w:vAlign w:val="center"/>
                </w:tcPr>
                <w:p>
                  <w:pPr>
                    <w:pStyle w:val="76"/>
                    <w:widowControl w:val="0"/>
                    <w:jc w:val="center"/>
                    <w:rPr>
                      <w:rFonts w:ascii="Times New Roman" w:hAnsi="Times New Roman"/>
                      <w:bCs/>
                      <w:kern w:val="2"/>
                      <w:sz w:val="21"/>
                      <w:szCs w:val="21"/>
                    </w:rPr>
                  </w:pPr>
                  <w:r>
                    <w:rPr>
                      <w:rFonts w:hint="eastAsia" w:ascii="Times New Roman" w:hAnsi="Times New Roman"/>
                      <w:sz w:val="21"/>
                      <w:szCs w:val="21"/>
                    </w:rPr>
                    <w:t>三级沉淀池，</w:t>
                  </w:r>
                  <w:r>
                    <w:rPr>
                      <w:rFonts w:hint="eastAsia"/>
                      <w:spacing w:val="7"/>
                      <w:sz w:val="21"/>
                      <w:szCs w:val="21"/>
                    </w:rPr>
                    <w:t>1</w:t>
                  </w:r>
                  <w:r>
                    <w:rPr>
                      <w:spacing w:val="7"/>
                      <w:sz w:val="21"/>
                      <w:szCs w:val="21"/>
                    </w:rPr>
                    <w:t>个，容积</w:t>
                  </w:r>
                  <w:r>
                    <w:rPr>
                      <w:rFonts w:hint="eastAsia" w:ascii="Times New Roman" w:hAnsi="Times New Roman"/>
                      <w:spacing w:val="7"/>
                      <w:sz w:val="21"/>
                      <w:szCs w:val="21"/>
                    </w:rPr>
                    <w:t>1500</w:t>
                  </w:r>
                  <w:r>
                    <w:rPr>
                      <w:rFonts w:ascii="Times New Roman" w:hAnsi="Times New Roman" w:eastAsia="Times New Roman"/>
                      <w:spacing w:val="7"/>
                      <w:sz w:val="21"/>
                      <w:szCs w:val="21"/>
                    </w:rPr>
                    <w:t>m</w:t>
                  </w:r>
                  <w:r>
                    <w:rPr>
                      <w:rFonts w:hint="eastAsia" w:ascii="Times New Roman" w:hAnsi="Times New Roman"/>
                      <w:spacing w:val="7"/>
                      <w:sz w:val="21"/>
                      <w:szCs w:val="21"/>
                      <w:vertAlign w:val="superscript"/>
                    </w:rPr>
                    <w:t>3</w:t>
                  </w:r>
                  <w:r>
                    <w:rPr>
                      <w:rFonts w:ascii="Times New Roman" w:hAnsi="Times New Roman" w:eastAsia="Times New Roman"/>
                      <w:spacing w:val="7"/>
                      <w:sz w:val="21"/>
                      <w:szCs w:val="21"/>
                    </w:rPr>
                    <w:t>/</w:t>
                  </w:r>
                  <w:r>
                    <w:rPr>
                      <w:spacing w:val="7"/>
                      <w:sz w:val="21"/>
                      <w:szCs w:val="21"/>
                    </w:rPr>
                    <w:t>个，用于处理生</w:t>
                  </w:r>
                  <w:r>
                    <w:rPr>
                      <w:spacing w:val="6"/>
                      <w:sz w:val="21"/>
                      <w:szCs w:val="21"/>
                    </w:rPr>
                    <w:t>产废水。</w:t>
                  </w:r>
                </w:p>
              </w:tc>
              <w:tc>
                <w:tcPr>
                  <w:tcW w:w="1690" w:type="pct"/>
                  <w:vMerge w:val="restart"/>
                  <w:tcBorders>
                    <w:tl2br w:val="nil"/>
                    <w:tr2bl w:val="nil"/>
                  </w:tcBorders>
                  <w:vAlign w:val="center"/>
                </w:tcPr>
                <w:p>
                  <w:pPr>
                    <w:adjustRightInd w:val="0"/>
                    <w:snapToGrid w:val="0"/>
                    <w:jc w:val="center"/>
                    <w:rPr>
                      <w:rFonts w:ascii="Times New Roman" w:hAnsi="Times New Roman" w:eastAsia="宋体" w:cs="Times New Roman"/>
                      <w:bCs/>
                      <w:szCs w:val="21"/>
                    </w:rPr>
                  </w:pPr>
                  <w:r>
                    <w:rPr>
                      <w:rFonts w:hint="eastAsia" w:ascii="Times New Roman" w:hAnsi="Times New Roman" w:eastAsia="宋体" w:cs="Times New Roman"/>
                      <w:bCs/>
                      <w:szCs w:val="21"/>
                    </w:rPr>
                    <w:t>回用于生产，不外排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08" w:type="pct"/>
                  <w:vMerge w:val="continue"/>
                  <w:tcBorders>
                    <w:tl2br w:val="nil"/>
                    <w:tr2bl w:val="nil"/>
                  </w:tcBorders>
                  <w:vAlign w:val="center"/>
                </w:tcPr>
                <w:p>
                  <w:pPr>
                    <w:adjustRightInd w:val="0"/>
                    <w:snapToGrid w:val="0"/>
                    <w:jc w:val="center"/>
                    <w:rPr>
                      <w:rFonts w:ascii="Times New Roman" w:hAnsi="Times New Roman" w:eastAsia="宋体" w:cs="Times New Roman"/>
                      <w:bCs/>
                      <w:szCs w:val="21"/>
                      <w:lang w:val="en-GB"/>
                    </w:rPr>
                  </w:pPr>
                </w:p>
              </w:tc>
              <w:tc>
                <w:tcPr>
                  <w:tcW w:w="851" w:type="pct"/>
                  <w:tcBorders>
                    <w:tl2br w:val="nil"/>
                    <w:tr2bl w:val="nil"/>
                  </w:tcBorders>
                  <w:vAlign w:val="center"/>
                </w:tcPr>
                <w:p>
                  <w:pPr>
                    <w:pStyle w:val="76"/>
                    <w:widowControl w:val="0"/>
                    <w:jc w:val="center"/>
                    <w:rPr>
                      <w:rFonts w:ascii="Times New Roman" w:hAnsi="Times New Roman"/>
                      <w:bCs/>
                      <w:sz w:val="21"/>
                      <w:szCs w:val="21"/>
                    </w:rPr>
                  </w:pPr>
                  <w:r>
                    <w:rPr>
                      <w:rFonts w:hint="eastAsia" w:ascii="Times New Roman" w:hAnsi="Times New Roman"/>
                      <w:sz w:val="21"/>
                      <w:szCs w:val="21"/>
                    </w:rPr>
                    <w:t>初期雨水</w:t>
                  </w:r>
                </w:p>
              </w:tc>
              <w:tc>
                <w:tcPr>
                  <w:tcW w:w="2049" w:type="pct"/>
                  <w:tcBorders>
                    <w:tl2br w:val="nil"/>
                    <w:tr2bl w:val="nil"/>
                  </w:tcBorders>
                  <w:vAlign w:val="center"/>
                </w:tcPr>
                <w:p>
                  <w:pPr>
                    <w:pStyle w:val="76"/>
                    <w:widowControl w:val="0"/>
                    <w:jc w:val="center"/>
                    <w:rPr>
                      <w:rFonts w:ascii="Times New Roman" w:hAnsi="Times New Roman"/>
                      <w:bCs/>
                      <w:sz w:val="21"/>
                      <w:szCs w:val="21"/>
                    </w:rPr>
                  </w:pPr>
                  <w:r>
                    <w:rPr>
                      <w:rFonts w:hint="eastAsia" w:ascii="Times New Roman" w:hAnsi="Times New Roman"/>
                      <w:sz w:val="21"/>
                      <w:szCs w:val="21"/>
                    </w:rPr>
                    <w:t>初期雨水收集池，</w:t>
                  </w:r>
                  <w:r>
                    <w:rPr>
                      <w:rFonts w:ascii="Times New Roman" w:hAnsi="Times New Roman" w:eastAsia="Times New Roman"/>
                      <w:spacing w:val="5"/>
                      <w:sz w:val="21"/>
                      <w:szCs w:val="21"/>
                    </w:rPr>
                    <w:t>1</w:t>
                  </w:r>
                  <w:r>
                    <w:rPr>
                      <w:spacing w:val="5"/>
                      <w:sz w:val="21"/>
                      <w:szCs w:val="21"/>
                    </w:rPr>
                    <w:t>座，容积</w:t>
                  </w:r>
                  <w:r>
                    <w:rPr>
                      <w:rFonts w:hint="eastAsia" w:ascii="Times New Roman" w:hAnsi="Times New Roman"/>
                      <w:spacing w:val="5"/>
                      <w:sz w:val="21"/>
                      <w:szCs w:val="21"/>
                    </w:rPr>
                    <w:t>100m</w:t>
                  </w:r>
                  <w:r>
                    <w:rPr>
                      <w:rFonts w:hint="eastAsia" w:ascii="Times New Roman" w:hAnsi="Times New Roman"/>
                      <w:spacing w:val="5"/>
                      <w:sz w:val="21"/>
                      <w:szCs w:val="21"/>
                      <w:vertAlign w:val="superscript"/>
                    </w:rPr>
                    <w:t>3</w:t>
                  </w:r>
                  <w:r>
                    <w:rPr>
                      <w:spacing w:val="5"/>
                      <w:sz w:val="21"/>
                      <w:szCs w:val="21"/>
                    </w:rPr>
                    <w:t>，位于厂区</w:t>
                  </w:r>
                  <w:r>
                    <w:rPr>
                      <w:rFonts w:hint="eastAsia"/>
                      <w:spacing w:val="5"/>
                      <w:sz w:val="21"/>
                      <w:szCs w:val="21"/>
                    </w:rPr>
                    <w:t>南</w:t>
                  </w:r>
                  <w:r>
                    <w:rPr>
                      <w:spacing w:val="5"/>
                      <w:sz w:val="21"/>
                      <w:szCs w:val="21"/>
                    </w:rPr>
                    <w:t>侧地势较低处，用</w:t>
                  </w:r>
                  <w:r>
                    <w:rPr>
                      <w:spacing w:val="8"/>
                      <w:sz w:val="21"/>
                      <w:szCs w:val="21"/>
                    </w:rPr>
                    <w:t>于收集初期雨水，沉淀后回用于生产。</w:t>
                  </w:r>
                </w:p>
              </w:tc>
              <w:tc>
                <w:tcPr>
                  <w:tcW w:w="1690" w:type="pct"/>
                  <w:vMerge w:val="continue"/>
                  <w:tcBorders>
                    <w:tl2br w:val="nil"/>
                    <w:tr2bl w:val="nil"/>
                  </w:tcBorders>
                  <w:vAlign w:val="center"/>
                </w:tcPr>
                <w:p>
                  <w:pPr>
                    <w:adjustRightInd w:val="0"/>
                    <w:snapToGrid w:val="0"/>
                    <w:jc w:val="center"/>
                    <w:rPr>
                      <w:rFonts w:ascii="Times New Roman" w:hAnsi="Times New Roman" w:eastAsia="宋体"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08" w:type="pct"/>
                  <w:vMerge w:val="continue"/>
                  <w:tcBorders>
                    <w:tl2br w:val="nil"/>
                    <w:tr2bl w:val="nil"/>
                  </w:tcBorders>
                  <w:vAlign w:val="center"/>
                </w:tcPr>
                <w:p>
                  <w:pPr>
                    <w:adjustRightInd w:val="0"/>
                    <w:snapToGrid w:val="0"/>
                    <w:jc w:val="center"/>
                    <w:rPr>
                      <w:rFonts w:ascii="Times New Roman" w:hAnsi="Times New Roman" w:eastAsia="宋体" w:cs="Times New Roman"/>
                      <w:bCs/>
                      <w:szCs w:val="21"/>
                      <w:lang w:val="en-GB"/>
                    </w:rPr>
                  </w:pPr>
                </w:p>
              </w:tc>
              <w:tc>
                <w:tcPr>
                  <w:tcW w:w="851" w:type="pct"/>
                  <w:tcBorders>
                    <w:tl2br w:val="nil"/>
                    <w:tr2bl w:val="nil"/>
                  </w:tcBorders>
                  <w:vAlign w:val="center"/>
                </w:tcPr>
                <w:p>
                  <w:pPr>
                    <w:pStyle w:val="76"/>
                    <w:widowControl w:val="0"/>
                    <w:jc w:val="center"/>
                    <w:rPr>
                      <w:rFonts w:ascii="Times New Roman" w:hAnsi="Times New Roman"/>
                      <w:bCs/>
                      <w:sz w:val="21"/>
                      <w:szCs w:val="21"/>
                    </w:rPr>
                  </w:pPr>
                  <w:r>
                    <w:rPr>
                      <w:rFonts w:hint="eastAsia" w:ascii="Times New Roman" w:hAnsi="Times New Roman"/>
                      <w:sz w:val="21"/>
                      <w:szCs w:val="21"/>
                    </w:rPr>
                    <w:t>事故应急池</w:t>
                  </w:r>
                </w:p>
              </w:tc>
              <w:tc>
                <w:tcPr>
                  <w:tcW w:w="2049" w:type="pct"/>
                  <w:tcBorders>
                    <w:tl2br w:val="nil"/>
                    <w:tr2bl w:val="nil"/>
                  </w:tcBorders>
                  <w:vAlign w:val="center"/>
                </w:tcPr>
                <w:p>
                  <w:pPr>
                    <w:pStyle w:val="76"/>
                    <w:widowControl w:val="0"/>
                    <w:jc w:val="center"/>
                    <w:rPr>
                      <w:rFonts w:ascii="Times New Roman" w:hAnsi="Times New Roman"/>
                      <w:bCs/>
                      <w:sz w:val="21"/>
                      <w:szCs w:val="21"/>
                    </w:rPr>
                  </w:pPr>
                  <w:r>
                    <w:rPr>
                      <w:rFonts w:hint="eastAsia" w:ascii="Times New Roman" w:hAnsi="Times New Roman"/>
                      <w:sz w:val="21"/>
                      <w:szCs w:val="21"/>
                    </w:rPr>
                    <w:t>事故应急池，</w:t>
                  </w:r>
                  <w:r>
                    <w:rPr>
                      <w:rFonts w:ascii="Times New Roman" w:hAnsi="Times New Roman" w:eastAsia="Times New Roman"/>
                      <w:spacing w:val="4"/>
                      <w:sz w:val="21"/>
                      <w:szCs w:val="21"/>
                    </w:rPr>
                    <w:t>1</w:t>
                  </w:r>
                  <w:r>
                    <w:rPr>
                      <w:spacing w:val="4"/>
                      <w:sz w:val="21"/>
                      <w:szCs w:val="21"/>
                    </w:rPr>
                    <w:t>座，容积</w:t>
                  </w:r>
                  <w:r>
                    <w:rPr>
                      <w:rFonts w:hint="eastAsia"/>
                      <w:spacing w:val="4"/>
                      <w:sz w:val="21"/>
                      <w:szCs w:val="21"/>
                    </w:rPr>
                    <w:t>250</w:t>
                  </w:r>
                  <w:r>
                    <w:rPr>
                      <w:rFonts w:ascii="Times New Roman" w:hAnsi="Times New Roman" w:eastAsia="Times New Roman"/>
                      <w:spacing w:val="4"/>
                      <w:sz w:val="21"/>
                      <w:szCs w:val="21"/>
                    </w:rPr>
                    <w:t>m</w:t>
                  </w:r>
                  <w:r>
                    <w:rPr>
                      <w:rFonts w:hint="eastAsia" w:ascii="Times New Roman" w:hAnsi="Times New Roman"/>
                      <w:spacing w:val="4"/>
                      <w:sz w:val="21"/>
                      <w:szCs w:val="21"/>
                      <w:vertAlign w:val="superscript"/>
                    </w:rPr>
                    <w:t>3</w:t>
                  </w:r>
                  <w:r>
                    <w:rPr>
                      <w:spacing w:val="4"/>
                      <w:sz w:val="21"/>
                      <w:szCs w:val="21"/>
                    </w:rPr>
                    <w:t>，用于事故废水。</w:t>
                  </w:r>
                </w:p>
              </w:tc>
              <w:tc>
                <w:tcPr>
                  <w:tcW w:w="1690" w:type="pct"/>
                  <w:vMerge w:val="continue"/>
                  <w:tcBorders>
                    <w:tl2br w:val="nil"/>
                    <w:tr2bl w:val="nil"/>
                  </w:tcBorders>
                  <w:vAlign w:val="center"/>
                </w:tcPr>
                <w:p>
                  <w:pPr>
                    <w:adjustRightInd w:val="0"/>
                    <w:snapToGrid w:val="0"/>
                    <w:jc w:val="center"/>
                    <w:rPr>
                      <w:rFonts w:ascii="Times New Roman" w:hAnsi="Times New Roman" w:eastAsia="宋体"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08" w:type="pct"/>
                  <w:vMerge w:val="continue"/>
                  <w:tcBorders>
                    <w:tl2br w:val="nil"/>
                    <w:tr2bl w:val="nil"/>
                  </w:tcBorders>
                  <w:vAlign w:val="center"/>
                </w:tcPr>
                <w:p>
                  <w:pPr>
                    <w:adjustRightInd w:val="0"/>
                    <w:snapToGrid w:val="0"/>
                    <w:jc w:val="center"/>
                    <w:rPr>
                      <w:rFonts w:ascii="Times New Roman" w:hAnsi="Times New Roman" w:eastAsia="宋体" w:cs="Times New Roman"/>
                      <w:bCs/>
                      <w:szCs w:val="21"/>
                      <w:lang w:val="en-GB"/>
                    </w:rPr>
                  </w:pPr>
                </w:p>
              </w:tc>
              <w:tc>
                <w:tcPr>
                  <w:tcW w:w="851" w:type="pct"/>
                  <w:tcBorders>
                    <w:tl2br w:val="nil"/>
                    <w:tr2bl w:val="nil"/>
                  </w:tcBorders>
                  <w:vAlign w:val="center"/>
                </w:tcPr>
                <w:p>
                  <w:pPr>
                    <w:pStyle w:val="76"/>
                    <w:widowControl w:val="0"/>
                    <w:jc w:val="center"/>
                    <w:rPr>
                      <w:rFonts w:ascii="Times New Roman" w:hAnsi="Times New Roman"/>
                      <w:bCs/>
                      <w:sz w:val="21"/>
                      <w:szCs w:val="21"/>
                    </w:rPr>
                  </w:pPr>
                  <w:r>
                    <w:rPr>
                      <w:rFonts w:hint="eastAsia" w:ascii="Times New Roman" w:hAnsi="Times New Roman"/>
                      <w:sz w:val="21"/>
                      <w:szCs w:val="21"/>
                    </w:rPr>
                    <w:t>成品堆放场渗滤液</w:t>
                  </w:r>
                </w:p>
              </w:tc>
              <w:tc>
                <w:tcPr>
                  <w:tcW w:w="2049" w:type="pct"/>
                  <w:tcBorders>
                    <w:tl2br w:val="nil"/>
                    <w:tr2bl w:val="nil"/>
                  </w:tcBorders>
                  <w:vAlign w:val="center"/>
                </w:tcPr>
                <w:p>
                  <w:pPr>
                    <w:pStyle w:val="76"/>
                    <w:widowControl w:val="0"/>
                    <w:jc w:val="center"/>
                    <w:rPr>
                      <w:rFonts w:ascii="Times New Roman" w:hAnsi="Times New Roman"/>
                      <w:bCs/>
                      <w:sz w:val="21"/>
                      <w:szCs w:val="21"/>
                    </w:rPr>
                  </w:pPr>
                  <w:r>
                    <w:rPr>
                      <w:rFonts w:hint="eastAsia" w:ascii="Times New Roman" w:hAnsi="Times New Roman"/>
                      <w:sz w:val="21"/>
                      <w:szCs w:val="21"/>
                    </w:rPr>
                    <w:t>成品堆放场渗滤液收集池，</w:t>
                  </w:r>
                  <w:r>
                    <w:rPr>
                      <w:rFonts w:ascii="Times New Roman" w:hAnsi="Times New Roman" w:eastAsia="Times New Roman"/>
                      <w:spacing w:val="5"/>
                      <w:sz w:val="21"/>
                      <w:szCs w:val="21"/>
                    </w:rPr>
                    <w:t>1</w:t>
                  </w:r>
                  <w:r>
                    <w:rPr>
                      <w:spacing w:val="5"/>
                      <w:sz w:val="21"/>
                      <w:szCs w:val="21"/>
                    </w:rPr>
                    <w:t>座，容积约为</w:t>
                  </w:r>
                  <w:r>
                    <w:rPr>
                      <w:rFonts w:hint="eastAsia" w:ascii="Times New Roman" w:hAnsi="Times New Roman"/>
                      <w:spacing w:val="5"/>
                      <w:sz w:val="21"/>
                      <w:szCs w:val="21"/>
                    </w:rPr>
                    <w:t>1</w:t>
                  </w:r>
                  <w:r>
                    <w:rPr>
                      <w:rFonts w:ascii="Times New Roman" w:hAnsi="Times New Roman" w:eastAsia="Times New Roman"/>
                      <w:spacing w:val="5"/>
                      <w:sz w:val="21"/>
                      <w:szCs w:val="21"/>
                    </w:rPr>
                    <w:t>0m</w:t>
                  </w:r>
                  <w:r>
                    <w:rPr>
                      <w:rFonts w:hint="eastAsia" w:ascii="Times New Roman" w:hAnsi="Times New Roman"/>
                      <w:spacing w:val="5"/>
                      <w:sz w:val="21"/>
                      <w:szCs w:val="21"/>
                      <w:vertAlign w:val="superscript"/>
                    </w:rPr>
                    <w:t>3</w:t>
                  </w:r>
                  <w:r>
                    <w:rPr>
                      <w:spacing w:val="5"/>
                      <w:sz w:val="21"/>
                      <w:szCs w:val="21"/>
                    </w:rPr>
                    <w:t>，用于收集</w:t>
                  </w:r>
                  <w:r>
                    <w:rPr>
                      <w:rFonts w:hint="eastAsia" w:ascii="Times New Roman" w:hAnsi="Times New Roman"/>
                      <w:sz w:val="21"/>
                      <w:szCs w:val="21"/>
                    </w:rPr>
                    <w:t>成品堆放场产生的渗滤液</w:t>
                  </w:r>
                </w:p>
              </w:tc>
              <w:tc>
                <w:tcPr>
                  <w:tcW w:w="1690" w:type="pct"/>
                  <w:vMerge w:val="continue"/>
                  <w:tcBorders>
                    <w:tl2br w:val="nil"/>
                    <w:tr2bl w:val="nil"/>
                  </w:tcBorders>
                  <w:vAlign w:val="center"/>
                </w:tcPr>
                <w:p>
                  <w:pPr>
                    <w:adjustRightInd w:val="0"/>
                    <w:snapToGrid w:val="0"/>
                    <w:jc w:val="center"/>
                    <w:rPr>
                      <w:rFonts w:ascii="Times New Roman" w:hAnsi="Times New Roman" w:eastAsia="宋体"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08" w:type="pct"/>
                  <w:vMerge w:val="continue"/>
                  <w:tcBorders>
                    <w:tl2br w:val="nil"/>
                    <w:tr2bl w:val="nil"/>
                  </w:tcBorders>
                  <w:vAlign w:val="center"/>
                </w:tcPr>
                <w:p>
                  <w:pPr>
                    <w:adjustRightInd w:val="0"/>
                    <w:snapToGrid w:val="0"/>
                    <w:jc w:val="center"/>
                    <w:rPr>
                      <w:rFonts w:ascii="Times New Roman" w:hAnsi="Times New Roman" w:eastAsia="宋体" w:cs="Times New Roman"/>
                      <w:bCs/>
                      <w:szCs w:val="21"/>
                      <w:lang w:val="en-GB"/>
                    </w:rPr>
                  </w:pPr>
                </w:p>
              </w:tc>
              <w:tc>
                <w:tcPr>
                  <w:tcW w:w="851" w:type="pct"/>
                  <w:tcBorders>
                    <w:tl2br w:val="nil"/>
                    <w:tr2bl w:val="nil"/>
                  </w:tcBorders>
                  <w:vAlign w:val="center"/>
                </w:tcPr>
                <w:p>
                  <w:pPr>
                    <w:pStyle w:val="76"/>
                    <w:widowControl w:val="0"/>
                    <w:jc w:val="center"/>
                    <w:rPr>
                      <w:rFonts w:ascii="Times New Roman" w:hAnsi="Times New Roman"/>
                      <w:bCs/>
                      <w:sz w:val="21"/>
                      <w:szCs w:val="21"/>
                    </w:rPr>
                  </w:pPr>
                  <w:r>
                    <w:rPr>
                      <w:rFonts w:hint="eastAsia" w:ascii="Times New Roman" w:hAnsi="Times New Roman"/>
                      <w:sz w:val="21"/>
                      <w:szCs w:val="21"/>
                    </w:rPr>
                    <w:t>污泥堆场渗滤液</w:t>
                  </w:r>
                </w:p>
              </w:tc>
              <w:tc>
                <w:tcPr>
                  <w:tcW w:w="2049" w:type="pct"/>
                  <w:tcBorders>
                    <w:tl2br w:val="nil"/>
                    <w:tr2bl w:val="nil"/>
                  </w:tcBorders>
                  <w:vAlign w:val="center"/>
                </w:tcPr>
                <w:p>
                  <w:pPr>
                    <w:pStyle w:val="76"/>
                    <w:widowControl w:val="0"/>
                    <w:jc w:val="center"/>
                    <w:rPr>
                      <w:rFonts w:ascii="Times New Roman" w:hAnsi="Times New Roman"/>
                      <w:bCs/>
                      <w:sz w:val="21"/>
                      <w:szCs w:val="21"/>
                    </w:rPr>
                  </w:pPr>
                  <w:r>
                    <w:rPr>
                      <w:rFonts w:hint="eastAsia" w:ascii="Times New Roman" w:hAnsi="Times New Roman"/>
                      <w:sz w:val="21"/>
                      <w:szCs w:val="21"/>
                    </w:rPr>
                    <w:t>污泥堆场渗滤液收集池，</w:t>
                  </w:r>
                  <w:r>
                    <w:rPr>
                      <w:rFonts w:ascii="Times New Roman" w:hAnsi="Times New Roman" w:eastAsia="Times New Roman"/>
                      <w:spacing w:val="5"/>
                      <w:sz w:val="21"/>
                      <w:szCs w:val="21"/>
                    </w:rPr>
                    <w:t>1</w:t>
                  </w:r>
                  <w:r>
                    <w:rPr>
                      <w:spacing w:val="5"/>
                      <w:sz w:val="21"/>
                      <w:szCs w:val="21"/>
                    </w:rPr>
                    <w:t>座，容积约为</w:t>
                  </w:r>
                  <w:r>
                    <w:rPr>
                      <w:rFonts w:hint="eastAsia" w:ascii="Times New Roman" w:hAnsi="Times New Roman"/>
                      <w:spacing w:val="5"/>
                      <w:sz w:val="21"/>
                      <w:szCs w:val="21"/>
                    </w:rPr>
                    <w:t>5</w:t>
                  </w:r>
                  <w:r>
                    <w:rPr>
                      <w:rFonts w:ascii="Times New Roman" w:hAnsi="Times New Roman" w:eastAsia="Times New Roman"/>
                      <w:spacing w:val="5"/>
                      <w:sz w:val="21"/>
                      <w:szCs w:val="21"/>
                    </w:rPr>
                    <w:t>m</w:t>
                  </w:r>
                  <w:r>
                    <w:rPr>
                      <w:rFonts w:hint="eastAsia" w:ascii="Times New Roman" w:hAnsi="Times New Roman"/>
                      <w:spacing w:val="5"/>
                      <w:sz w:val="21"/>
                      <w:szCs w:val="21"/>
                      <w:vertAlign w:val="superscript"/>
                    </w:rPr>
                    <w:t>3</w:t>
                  </w:r>
                  <w:r>
                    <w:rPr>
                      <w:spacing w:val="5"/>
                      <w:sz w:val="21"/>
                      <w:szCs w:val="21"/>
                    </w:rPr>
                    <w:t>，用于收集</w:t>
                  </w:r>
                  <w:r>
                    <w:rPr>
                      <w:rFonts w:hint="eastAsia" w:ascii="Times New Roman" w:hAnsi="Times New Roman"/>
                      <w:sz w:val="21"/>
                      <w:szCs w:val="21"/>
                    </w:rPr>
                    <w:t>污泥堆场产生的渗滤液</w:t>
                  </w:r>
                </w:p>
              </w:tc>
              <w:tc>
                <w:tcPr>
                  <w:tcW w:w="1690" w:type="pct"/>
                  <w:vMerge w:val="continue"/>
                  <w:tcBorders>
                    <w:tl2br w:val="nil"/>
                    <w:tr2bl w:val="nil"/>
                  </w:tcBorders>
                  <w:vAlign w:val="center"/>
                </w:tcPr>
                <w:p>
                  <w:pPr>
                    <w:adjustRightInd w:val="0"/>
                    <w:snapToGrid w:val="0"/>
                    <w:jc w:val="center"/>
                    <w:rPr>
                      <w:rFonts w:ascii="Times New Roman" w:hAnsi="Times New Roman" w:eastAsia="宋体"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08" w:type="pct"/>
                  <w:vMerge w:val="continue"/>
                  <w:tcBorders>
                    <w:tl2br w:val="nil"/>
                    <w:tr2bl w:val="nil"/>
                  </w:tcBorders>
                  <w:vAlign w:val="center"/>
                </w:tcPr>
                <w:p>
                  <w:pPr>
                    <w:adjustRightInd w:val="0"/>
                    <w:snapToGrid w:val="0"/>
                    <w:jc w:val="center"/>
                    <w:rPr>
                      <w:rFonts w:ascii="Times New Roman" w:hAnsi="Times New Roman" w:eastAsia="宋体" w:cs="Times New Roman"/>
                      <w:bCs/>
                      <w:szCs w:val="21"/>
                      <w:lang w:val="en-GB"/>
                    </w:rPr>
                  </w:pPr>
                </w:p>
              </w:tc>
              <w:tc>
                <w:tcPr>
                  <w:tcW w:w="851" w:type="pct"/>
                  <w:tcBorders>
                    <w:tl2br w:val="nil"/>
                    <w:tr2bl w:val="nil"/>
                  </w:tcBorders>
                  <w:vAlign w:val="center"/>
                </w:tcPr>
                <w:p>
                  <w:pPr>
                    <w:pStyle w:val="76"/>
                    <w:widowControl w:val="0"/>
                    <w:jc w:val="center"/>
                    <w:rPr>
                      <w:rFonts w:ascii="Times New Roman" w:hAnsi="Times New Roman"/>
                      <w:sz w:val="21"/>
                      <w:szCs w:val="21"/>
                    </w:rPr>
                  </w:pPr>
                  <w:r>
                    <w:rPr>
                      <w:rFonts w:hint="eastAsia" w:asciiTheme="minorHAnsi" w:hAnsiTheme="minorHAnsi" w:eastAsiaTheme="minorEastAsia" w:cstheme="minorBidi"/>
                      <w:iCs/>
                      <w:snapToGrid w:val="0"/>
                      <w:sz w:val="21"/>
                      <w:szCs w:val="21"/>
                    </w:rPr>
                    <w:t>湿法降尘作业地表径流</w:t>
                  </w:r>
                </w:p>
              </w:tc>
              <w:tc>
                <w:tcPr>
                  <w:tcW w:w="2049" w:type="pct"/>
                  <w:tcBorders>
                    <w:tl2br w:val="nil"/>
                    <w:tr2bl w:val="nil"/>
                  </w:tcBorders>
                  <w:vAlign w:val="center"/>
                </w:tcPr>
                <w:p>
                  <w:pPr>
                    <w:pStyle w:val="76"/>
                    <w:widowControl w:val="0"/>
                    <w:jc w:val="center"/>
                    <w:rPr>
                      <w:rFonts w:ascii="Times New Roman" w:hAnsi="Times New Roman"/>
                      <w:sz w:val="21"/>
                      <w:szCs w:val="21"/>
                    </w:rPr>
                  </w:pPr>
                  <w:r>
                    <w:rPr>
                      <w:rFonts w:hint="eastAsia" w:asciiTheme="minorHAnsi" w:hAnsiTheme="minorHAnsi" w:eastAsiaTheme="minorEastAsia" w:cstheme="minorBidi"/>
                      <w:iCs/>
                      <w:snapToGrid w:val="0"/>
                      <w:sz w:val="21"/>
                      <w:szCs w:val="21"/>
                    </w:rPr>
                    <w:t>堆场四周设置集污沟，并与三级沉淀池相连，保障湿法降尘作业地表径流进入三级沉淀池处理。</w:t>
                  </w:r>
                </w:p>
              </w:tc>
              <w:tc>
                <w:tcPr>
                  <w:tcW w:w="1690" w:type="pct"/>
                  <w:vMerge w:val="continue"/>
                  <w:tcBorders>
                    <w:tl2br w:val="nil"/>
                    <w:tr2bl w:val="nil"/>
                  </w:tcBorders>
                  <w:vAlign w:val="center"/>
                </w:tcPr>
                <w:p>
                  <w:pPr>
                    <w:adjustRightInd w:val="0"/>
                    <w:snapToGrid w:val="0"/>
                    <w:jc w:val="center"/>
                    <w:rPr>
                      <w:rFonts w:ascii="Times New Roman" w:hAnsi="Times New Roman" w:eastAsia="宋体"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08" w:type="pct"/>
                  <w:vMerge w:val="continue"/>
                  <w:tcBorders>
                    <w:tl2br w:val="nil"/>
                    <w:tr2bl w:val="nil"/>
                  </w:tcBorders>
                  <w:vAlign w:val="center"/>
                </w:tcPr>
                <w:p>
                  <w:pPr>
                    <w:adjustRightInd w:val="0"/>
                    <w:snapToGrid w:val="0"/>
                    <w:jc w:val="center"/>
                    <w:rPr>
                      <w:rFonts w:ascii="Times New Roman" w:hAnsi="Times New Roman" w:eastAsia="宋体" w:cs="Times New Roman"/>
                      <w:bCs/>
                      <w:szCs w:val="21"/>
                      <w:lang w:val="en-GB"/>
                    </w:rPr>
                  </w:pPr>
                </w:p>
              </w:tc>
              <w:tc>
                <w:tcPr>
                  <w:tcW w:w="851" w:type="pct"/>
                  <w:tcBorders>
                    <w:tl2br w:val="nil"/>
                    <w:tr2bl w:val="nil"/>
                  </w:tcBorders>
                  <w:vAlign w:val="center"/>
                </w:tcPr>
                <w:p>
                  <w:pPr>
                    <w:pStyle w:val="76"/>
                    <w:widowControl w:val="0"/>
                    <w:jc w:val="center"/>
                    <w:rPr>
                      <w:rFonts w:ascii="Times New Roman" w:hAnsi="Times New Roman"/>
                      <w:bCs/>
                      <w:sz w:val="21"/>
                      <w:szCs w:val="21"/>
                    </w:rPr>
                  </w:pPr>
                  <w:r>
                    <w:rPr>
                      <w:rFonts w:hint="eastAsia" w:ascii="Times New Roman" w:hAnsi="Times New Roman"/>
                      <w:sz w:val="21"/>
                      <w:szCs w:val="21"/>
                    </w:rPr>
                    <w:t>三级化粪池</w:t>
                  </w:r>
                </w:p>
              </w:tc>
              <w:tc>
                <w:tcPr>
                  <w:tcW w:w="2049" w:type="pct"/>
                  <w:tcBorders>
                    <w:tl2br w:val="nil"/>
                    <w:tr2bl w:val="nil"/>
                  </w:tcBorders>
                  <w:vAlign w:val="center"/>
                </w:tcPr>
                <w:p>
                  <w:pPr>
                    <w:pStyle w:val="76"/>
                    <w:widowControl w:val="0"/>
                    <w:jc w:val="center"/>
                    <w:rPr>
                      <w:rFonts w:ascii="Times New Roman" w:hAnsi="Times New Roman"/>
                      <w:bCs/>
                      <w:sz w:val="21"/>
                      <w:szCs w:val="21"/>
                    </w:rPr>
                  </w:pPr>
                  <w:r>
                    <w:rPr>
                      <w:rFonts w:hint="eastAsia" w:ascii="Times New Roman" w:hAnsi="Times New Roman"/>
                      <w:sz w:val="21"/>
                      <w:szCs w:val="21"/>
                    </w:rPr>
                    <w:t>三级化粪池，</w:t>
                  </w:r>
                  <w:r>
                    <w:rPr>
                      <w:rFonts w:ascii="Times New Roman" w:hAnsi="Times New Roman" w:eastAsia="Times New Roman"/>
                      <w:spacing w:val="5"/>
                      <w:sz w:val="21"/>
                      <w:szCs w:val="21"/>
                    </w:rPr>
                    <w:t>1</w:t>
                  </w:r>
                  <w:r>
                    <w:rPr>
                      <w:spacing w:val="5"/>
                      <w:sz w:val="21"/>
                      <w:szCs w:val="21"/>
                    </w:rPr>
                    <w:t>座，容积</w:t>
                  </w:r>
                  <w:r>
                    <w:rPr>
                      <w:rFonts w:hint="eastAsia"/>
                      <w:spacing w:val="5"/>
                      <w:sz w:val="21"/>
                      <w:szCs w:val="21"/>
                    </w:rPr>
                    <w:t>10</w:t>
                  </w:r>
                  <w:r>
                    <w:rPr>
                      <w:rFonts w:ascii="Times New Roman" w:hAnsi="Times New Roman" w:eastAsia="Times New Roman"/>
                      <w:spacing w:val="5"/>
                      <w:sz w:val="21"/>
                      <w:szCs w:val="21"/>
                    </w:rPr>
                    <w:t>m</w:t>
                  </w:r>
                  <w:r>
                    <w:rPr>
                      <w:rFonts w:hint="eastAsia" w:ascii="Times New Roman" w:hAnsi="Times New Roman"/>
                      <w:spacing w:val="5"/>
                      <w:sz w:val="21"/>
                      <w:szCs w:val="21"/>
                      <w:vertAlign w:val="superscript"/>
                    </w:rPr>
                    <w:t>3</w:t>
                  </w:r>
                  <w:r>
                    <w:rPr>
                      <w:spacing w:val="5"/>
                      <w:sz w:val="21"/>
                      <w:szCs w:val="21"/>
                    </w:rPr>
                    <w:t>，用于处理</w:t>
                  </w:r>
                  <w:r>
                    <w:rPr>
                      <w:rFonts w:hint="eastAsia"/>
                      <w:spacing w:val="5"/>
                      <w:sz w:val="21"/>
                      <w:szCs w:val="21"/>
                    </w:rPr>
                    <w:t>生活污</w:t>
                  </w:r>
                  <w:r>
                    <w:rPr>
                      <w:spacing w:val="5"/>
                      <w:sz w:val="21"/>
                      <w:szCs w:val="21"/>
                    </w:rPr>
                    <w:t>水。</w:t>
                  </w:r>
                </w:p>
              </w:tc>
              <w:tc>
                <w:tcPr>
                  <w:tcW w:w="1690" w:type="pct"/>
                  <w:tcBorders>
                    <w:tl2br w:val="nil"/>
                    <w:tr2bl w:val="nil"/>
                  </w:tcBorders>
                  <w:vAlign w:val="center"/>
                </w:tcPr>
                <w:p>
                  <w:pPr>
                    <w:adjustRightInd w:val="0"/>
                    <w:snapToGrid w:val="0"/>
                    <w:jc w:val="center"/>
                    <w:rPr>
                      <w:rFonts w:ascii="Times New Roman" w:hAnsi="Times New Roman" w:eastAsia="宋体" w:cs="Times New Roman"/>
                      <w:bCs/>
                      <w:szCs w:val="21"/>
                    </w:rPr>
                  </w:pPr>
                  <w:r>
                    <w:rPr>
                      <w:iCs/>
                      <w:snapToGrid w:val="0"/>
                      <w:kern w:val="0"/>
                      <w:szCs w:val="21"/>
                    </w:rPr>
                    <w:t>生活污水</w:t>
                  </w:r>
                  <w:r>
                    <w:rPr>
                      <w:rFonts w:hint="eastAsia"/>
                      <w:iCs/>
                      <w:snapToGrid w:val="0"/>
                      <w:kern w:val="0"/>
                      <w:szCs w:val="21"/>
                    </w:rPr>
                    <w:t>经</w:t>
                  </w:r>
                  <w:r>
                    <w:rPr>
                      <w:iCs/>
                      <w:snapToGrid w:val="0"/>
                      <w:kern w:val="0"/>
                      <w:szCs w:val="21"/>
                    </w:rPr>
                    <w:t>化粪池处理后，</w:t>
                  </w:r>
                  <w:r>
                    <w:rPr>
                      <w:rFonts w:hint="eastAsia"/>
                      <w:iCs/>
                      <w:snapToGrid w:val="0"/>
                      <w:kern w:val="0"/>
                      <w:szCs w:val="21"/>
                    </w:rPr>
                    <w:t>委托当地居民清掏用作农肥使用</w:t>
                  </w:r>
                  <w:r>
                    <w:rPr>
                      <w:iCs/>
                      <w:snapToGrid w:val="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08" w:type="pct"/>
                  <w:tcBorders>
                    <w:tl2br w:val="nil"/>
                    <w:tr2bl w:val="nil"/>
                  </w:tcBorders>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噪声</w:t>
                  </w:r>
                </w:p>
              </w:tc>
              <w:tc>
                <w:tcPr>
                  <w:tcW w:w="851" w:type="pct"/>
                  <w:tcBorders>
                    <w:tl2br w:val="nil"/>
                    <w:tr2bl w:val="nil"/>
                  </w:tcBorders>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设备噪声</w:t>
                  </w:r>
                </w:p>
              </w:tc>
              <w:tc>
                <w:tcPr>
                  <w:tcW w:w="2049" w:type="pct"/>
                  <w:tcBorders>
                    <w:tl2br w:val="nil"/>
                    <w:tr2bl w:val="nil"/>
                  </w:tcBorders>
                  <w:vAlign w:val="center"/>
                </w:tcPr>
                <w:p>
                  <w:pPr>
                    <w:adjustRightInd w:val="0"/>
                    <w:snapToGrid w:val="0"/>
                    <w:jc w:val="center"/>
                    <w:rPr>
                      <w:rFonts w:ascii="Times New Roman" w:hAnsi="Times New Roman" w:eastAsia="宋体" w:cs="Times New Roman"/>
                      <w:bCs/>
                      <w:szCs w:val="21"/>
                      <w:lang w:val="en-GB"/>
                    </w:rPr>
                  </w:pPr>
                  <w:r>
                    <w:rPr>
                      <w:rFonts w:ascii="Times New Roman" w:hAnsi="Times New Roman" w:eastAsia="宋体" w:cs="Times New Roman"/>
                      <w:szCs w:val="21"/>
                      <w:lang w:val="zh-CN"/>
                    </w:rPr>
                    <w:t>选择低噪声设备、厂房隔声、基础减震、消声等措施</w:t>
                  </w:r>
                </w:p>
              </w:tc>
              <w:tc>
                <w:tcPr>
                  <w:tcW w:w="1690" w:type="pct"/>
                  <w:tcBorders>
                    <w:tl2br w:val="nil"/>
                    <w:tr2bl w:val="nil"/>
                  </w:tcBorders>
                  <w:vAlign w:val="center"/>
                </w:tcPr>
                <w:p>
                  <w:pPr>
                    <w:adjustRightInd w:val="0"/>
                    <w:snapToGrid w:val="0"/>
                    <w:rPr>
                      <w:rFonts w:ascii="Times New Roman" w:hAnsi="Times New Roman" w:eastAsia="宋体" w:cs="Times New Roman"/>
                      <w:bCs/>
                      <w:szCs w:val="21"/>
                      <w:lang w:val="en-GB"/>
                    </w:rPr>
                  </w:pPr>
                  <w:r>
                    <w:rPr>
                      <w:rFonts w:ascii="Times New Roman" w:hAnsi="Times New Roman" w:eastAsia="宋体" w:cs="Times New Roman"/>
                      <w:szCs w:val="21"/>
                      <w:lang w:val="zh-CN"/>
                    </w:rPr>
                    <w:t>《工业企业厂界环境噪声排放标准》（GB12348-2008）</w:t>
                  </w:r>
                  <w:r>
                    <w:rPr>
                      <w:rFonts w:hint="eastAsia" w:ascii="Times New Roman" w:hAnsi="Times New Roman" w:eastAsia="宋体" w:cs="Times New Roman"/>
                      <w:szCs w:val="21"/>
                    </w:rPr>
                    <w:t>2</w:t>
                  </w:r>
                  <w:r>
                    <w:rPr>
                      <w:rFonts w:ascii="Times New Roman" w:hAnsi="Times New Roman" w:eastAsia="宋体" w:cs="Times New Roman"/>
                      <w:szCs w:val="21"/>
                      <w:lang w:val="zh-CN"/>
                    </w:rPr>
                    <w:t>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408" w:type="pct"/>
                  <w:vMerge w:val="restart"/>
                  <w:tcBorders>
                    <w:tl2br w:val="nil"/>
                    <w:tr2bl w:val="nil"/>
                  </w:tcBorders>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固体废物</w:t>
                  </w:r>
                </w:p>
              </w:tc>
              <w:tc>
                <w:tcPr>
                  <w:tcW w:w="851" w:type="pct"/>
                  <w:tcBorders>
                    <w:tl2br w:val="nil"/>
                    <w:tr2bl w:val="nil"/>
                  </w:tcBorders>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kern w:val="0"/>
                      <w:szCs w:val="21"/>
                    </w:rPr>
                    <w:t>生活垃圾</w:t>
                  </w:r>
                </w:p>
              </w:tc>
              <w:tc>
                <w:tcPr>
                  <w:tcW w:w="2049" w:type="pct"/>
                  <w:tcBorders>
                    <w:tl2br w:val="nil"/>
                    <w:tr2bl w:val="nil"/>
                  </w:tcBorders>
                  <w:vAlign w:val="center"/>
                </w:tcPr>
                <w:p>
                  <w:pPr>
                    <w:adjustRightInd w:val="0"/>
                    <w:snapToGrid w:val="0"/>
                    <w:rPr>
                      <w:rFonts w:ascii="Times New Roman" w:hAnsi="Times New Roman" w:eastAsia="宋体" w:cs="Times New Roman"/>
                      <w:bCs/>
                      <w:szCs w:val="21"/>
                      <w:lang w:val="en-GB"/>
                    </w:rPr>
                  </w:pPr>
                  <w:r>
                    <w:rPr>
                      <w:rFonts w:ascii="Times New Roman" w:hAnsi="Times New Roman" w:eastAsia="宋体" w:cs="Times New Roman"/>
                      <w:kern w:val="0"/>
                      <w:szCs w:val="21"/>
                    </w:rPr>
                    <w:t>办公生活区产生的生活垃圾经垃圾桶收集后，由环卫部门清运处置。</w:t>
                  </w:r>
                </w:p>
              </w:tc>
              <w:tc>
                <w:tcPr>
                  <w:tcW w:w="1690" w:type="pct"/>
                  <w:vMerge w:val="restart"/>
                  <w:tcBorders>
                    <w:tl2br w:val="nil"/>
                    <w:tr2bl w:val="nil"/>
                  </w:tcBorders>
                  <w:vAlign w:val="center"/>
                </w:tcPr>
                <w:p>
                  <w:pPr>
                    <w:adjustRightInd w:val="0"/>
                    <w:snapToGrid w:val="0"/>
                    <w:rPr>
                      <w:rFonts w:ascii="Times New Roman" w:hAnsi="Times New Roman" w:eastAsia="宋体" w:cs="Times New Roman"/>
                      <w:bCs/>
                      <w:szCs w:val="21"/>
                    </w:rPr>
                  </w:pPr>
                  <w:r>
                    <w:rPr>
                      <w:rFonts w:ascii="Times New Roman" w:hAnsi="Times New Roman" w:eastAsia="宋体" w:cs="Times New Roman"/>
                      <w:kern w:val="0"/>
                      <w:szCs w:val="21"/>
                      <w:lang w:bidi="ar"/>
                    </w:rPr>
                    <w:t>一般固体废弃物处置执行《一般工业固体废物贮存和填埋污染控制标准》（GB18599-2020）标准要求；固废处置率达100%。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08" w:type="pct"/>
                  <w:vMerge w:val="continue"/>
                  <w:tcBorders>
                    <w:tl2br w:val="nil"/>
                    <w:tr2bl w:val="nil"/>
                  </w:tcBorders>
                  <w:vAlign w:val="center"/>
                </w:tcPr>
                <w:p>
                  <w:pPr>
                    <w:adjustRightInd w:val="0"/>
                    <w:snapToGrid w:val="0"/>
                    <w:jc w:val="center"/>
                    <w:rPr>
                      <w:rFonts w:ascii="Times New Roman" w:hAnsi="Times New Roman" w:eastAsia="宋体" w:cs="Times New Roman"/>
                      <w:bCs/>
                      <w:szCs w:val="21"/>
                    </w:rPr>
                  </w:pPr>
                </w:p>
              </w:tc>
              <w:tc>
                <w:tcPr>
                  <w:tcW w:w="851" w:type="pct"/>
                  <w:tcBorders>
                    <w:tl2br w:val="nil"/>
                    <w:tr2bl w:val="nil"/>
                  </w:tcBorders>
                  <w:vAlign w:val="center"/>
                </w:tcPr>
                <w:p>
                  <w:pPr>
                    <w:adjustRightInd w:val="0"/>
                    <w:snapToGrid w:val="0"/>
                    <w:jc w:val="center"/>
                    <w:rPr>
                      <w:rFonts w:ascii="Times New Roman" w:hAnsi="Times New Roman" w:eastAsia="宋体" w:cs="Times New Roman"/>
                      <w:bCs/>
                      <w:szCs w:val="21"/>
                    </w:rPr>
                  </w:pPr>
                  <w:r>
                    <w:rPr>
                      <w:rFonts w:hint="eastAsia" w:ascii="Times New Roman" w:hAnsi="Times New Roman" w:eastAsia="宋体" w:cs="Times New Roman"/>
                      <w:kern w:val="0"/>
                      <w:szCs w:val="21"/>
                    </w:rPr>
                    <w:t>污泥</w:t>
                  </w:r>
                </w:p>
              </w:tc>
              <w:tc>
                <w:tcPr>
                  <w:tcW w:w="2049" w:type="pct"/>
                  <w:tcBorders>
                    <w:tl2br w:val="nil"/>
                    <w:tr2bl w:val="nil"/>
                  </w:tcBorders>
                  <w:vAlign w:val="center"/>
                </w:tcPr>
                <w:p>
                  <w:pPr>
                    <w:adjustRightInd w:val="0"/>
                    <w:snapToGrid w:val="0"/>
                    <w:rPr>
                      <w:rFonts w:ascii="Times New Roman" w:hAnsi="Times New Roman" w:eastAsia="宋体" w:cs="Times New Roman"/>
                      <w:bCs/>
                      <w:szCs w:val="21"/>
                    </w:rPr>
                  </w:pPr>
                  <w:r>
                    <w:rPr>
                      <w:rFonts w:ascii="Times New Roman" w:hAnsi="Times New Roman" w:eastAsia="宋体" w:cs="Times New Roman"/>
                      <w:kern w:val="0"/>
                      <w:szCs w:val="21"/>
                    </w:rPr>
                    <w:t>污泥清掏至</w:t>
                  </w:r>
                  <w:r>
                    <w:rPr>
                      <w:rFonts w:hint="eastAsia" w:ascii="Times New Roman" w:hAnsi="Times New Roman" w:eastAsia="宋体" w:cs="Times New Roman"/>
                      <w:kern w:val="0"/>
                      <w:szCs w:val="21"/>
                    </w:rPr>
                    <w:t>污泥</w:t>
                  </w:r>
                  <w:r>
                    <w:rPr>
                      <w:rFonts w:ascii="Times New Roman" w:hAnsi="Times New Roman" w:eastAsia="宋体" w:cs="Times New Roman"/>
                      <w:kern w:val="0"/>
                      <w:szCs w:val="21"/>
                    </w:rPr>
                    <w:t>堆场暂存，后外售给环保砖厂作为原料生产环保砖。</w:t>
                  </w:r>
                </w:p>
              </w:tc>
              <w:tc>
                <w:tcPr>
                  <w:tcW w:w="1690" w:type="pct"/>
                  <w:vMerge w:val="continue"/>
                  <w:tcBorders>
                    <w:tl2br w:val="nil"/>
                    <w:tr2bl w:val="nil"/>
                  </w:tcBorders>
                  <w:vAlign w:val="center"/>
                </w:tcPr>
                <w:p>
                  <w:pPr>
                    <w:adjustRightInd w:val="0"/>
                    <w:snapToGrid w:val="0"/>
                    <w:rPr>
                      <w:rFonts w:ascii="Times New Roman" w:hAnsi="Times New Roman" w:eastAsia="宋体" w:cs="Times New Roman"/>
                      <w:bCs/>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408" w:type="pct"/>
                  <w:vMerge w:val="continue"/>
                  <w:tcBorders>
                    <w:tl2br w:val="nil"/>
                    <w:tr2bl w:val="nil"/>
                  </w:tcBorders>
                  <w:vAlign w:val="center"/>
                </w:tcPr>
                <w:p>
                  <w:pPr>
                    <w:adjustRightInd w:val="0"/>
                    <w:snapToGrid w:val="0"/>
                    <w:jc w:val="center"/>
                    <w:rPr>
                      <w:rFonts w:ascii="Times New Roman" w:hAnsi="Times New Roman" w:eastAsia="宋体" w:cs="Times New Roman"/>
                      <w:bCs/>
                      <w:szCs w:val="21"/>
                    </w:rPr>
                  </w:pPr>
                </w:p>
              </w:tc>
              <w:tc>
                <w:tcPr>
                  <w:tcW w:w="851" w:type="pct"/>
                  <w:tcBorders>
                    <w:tl2br w:val="nil"/>
                    <w:tr2bl w:val="nil"/>
                  </w:tcBorders>
                  <w:vAlign w:val="center"/>
                </w:tcPr>
                <w:p>
                  <w:pPr>
                    <w:adjustRightInd w:val="0"/>
                    <w:snapToGrid w:val="0"/>
                    <w:jc w:val="center"/>
                    <w:rPr>
                      <w:rFonts w:ascii="Times New Roman" w:hAnsi="Times New Roman" w:eastAsia="宋体" w:cs="Times New Roman"/>
                      <w:kern w:val="0"/>
                      <w:szCs w:val="21"/>
                    </w:rPr>
                  </w:pPr>
                  <w:r>
                    <w:rPr>
                      <w:rFonts w:ascii="Times New Roman" w:hAnsi="Times New Roman" w:eastAsia="宋体" w:cs="Times New Roman"/>
                      <w:szCs w:val="21"/>
                    </w:rPr>
                    <w:t>废润滑油</w:t>
                  </w:r>
                </w:p>
              </w:tc>
              <w:tc>
                <w:tcPr>
                  <w:tcW w:w="2049" w:type="pct"/>
                  <w:tcBorders>
                    <w:tl2br w:val="nil"/>
                    <w:tr2bl w:val="nil"/>
                  </w:tcBorders>
                  <w:vAlign w:val="center"/>
                </w:tcPr>
                <w:p>
                  <w:pPr>
                    <w:adjustRightInd w:val="0"/>
                    <w:snapToGrid w:val="0"/>
                    <w:rPr>
                      <w:rFonts w:ascii="Times New Roman" w:hAnsi="Times New Roman" w:eastAsia="宋体" w:cs="Times New Roman"/>
                      <w:kern w:val="0"/>
                      <w:szCs w:val="21"/>
                    </w:rPr>
                  </w:pPr>
                  <w:r>
                    <w:rPr>
                      <w:rFonts w:ascii="Times New Roman" w:hAnsi="Times New Roman" w:eastAsia="宋体" w:cs="Times New Roman"/>
                      <w:szCs w:val="21"/>
                    </w:rPr>
                    <w:t>收集后暂存在</w:t>
                  </w:r>
                  <w:r>
                    <w:rPr>
                      <w:rFonts w:hint="eastAsia" w:ascii="Times New Roman" w:hAnsi="Times New Roman" w:eastAsia="宋体" w:cs="Times New Roman"/>
                      <w:szCs w:val="21"/>
                    </w:rPr>
                    <w:t>10m</w:t>
                  </w:r>
                  <w:r>
                    <w:rPr>
                      <w:rFonts w:hint="eastAsia" w:ascii="Times New Roman" w:hAnsi="Times New Roman" w:eastAsia="宋体" w:cs="Times New Roman"/>
                      <w:szCs w:val="21"/>
                      <w:vertAlign w:val="superscript"/>
                    </w:rPr>
                    <w:t>2</w:t>
                  </w:r>
                  <w:r>
                    <w:rPr>
                      <w:rFonts w:ascii="Times New Roman" w:hAnsi="Times New Roman" w:eastAsia="宋体" w:cs="Times New Roman"/>
                      <w:szCs w:val="21"/>
                    </w:rPr>
                    <w:t>危废暂存间内，委托有资质单位清运处置。</w:t>
                  </w:r>
                </w:p>
              </w:tc>
              <w:tc>
                <w:tcPr>
                  <w:tcW w:w="1690" w:type="pct"/>
                  <w:tcBorders>
                    <w:tl2br w:val="nil"/>
                    <w:tr2bl w:val="nil"/>
                  </w:tcBorders>
                  <w:vAlign w:val="center"/>
                </w:tcPr>
                <w:p>
                  <w:pPr>
                    <w:adjustRightInd w:val="0"/>
                    <w:snapToGrid w:val="0"/>
                    <w:rPr>
                      <w:rFonts w:ascii="Times New Roman" w:hAnsi="Times New Roman" w:eastAsia="宋体" w:cs="Times New Roman"/>
                      <w:bCs/>
                      <w:szCs w:val="21"/>
                      <w:lang w:val="en-GB"/>
                    </w:rPr>
                  </w:pPr>
                  <w:r>
                    <w:rPr>
                      <w:rFonts w:ascii="Times New Roman" w:hAnsi="Times New Roman" w:eastAsia="宋体" w:cs="Times New Roman"/>
                      <w:bCs/>
                      <w:szCs w:val="21"/>
                    </w:rPr>
                    <w:t>执行</w:t>
                  </w:r>
                  <w:r>
                    <w:rPr>
                      <w:rFonts w:ascii="Times New Roman" w:hAnsi="Times New Roman" w:eastAsia="宋体" w:cs="Times New Roman"/>
                      <w:kern w:val="0"/>
                      <w:szCs w:val="21"/>
                      <w:lang w:bidi="ar"/>
                    </w:rPr>
                    <w:t>《危险废物贮存污染控制标准》(GB 18597—2023)</w:t>
                  </w:r>
                  <w:r>
                    <w:rPr>
                      <w:rFonts w:ascii="Times New Roman" w:hAnsi="Times New Roman" w:eastAsia="宋体" w:cs="Times New Roman"/>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408" w:type="pct"/>
                  <w:tcBorders>
                    <w:tl2br w:val="nil"/>
                    <w:tr2bl w:val="nil"/>
                  </w:tcBorders>
                  <w:vAlign w:val="center"/>
                </w:tcPr>
                <w:p>
                  <w:pPr>
                    <w:adjustRightInd w:val="0"/>
                    <w:snapToGrid w:val="0"/>
                    <w:jc w:val="center"/>
                    <w:rPr>
                      <w:rFonts w:ascii="Times New Roman" w:hAnsi="Times New Roman" w:eastAsia="宋体" w:cs="Times New Roman"/>
                      <w:bCs/>
                      <w:szCs w:val="21"/>
                    </w:rPr>
                  </w:pPr>
                  <w:r>
                    <w:rPr>
                      <w:rFonts w:hint="eastAsia" w:ascii="Times New Roman" w:hAnsi="Times New Roman" w:eastAsia="宋体" w:cs="Times New Roman"/>
                      <w:bCs/>
                      <w:szCs w:val="21"/>
                    </w:rPr>
                    <w:t>生态环境</w:t>
                  </w:r>
                </w:p>
              </w:tc>
              <w:tc>
                <w:tcPr>
                  <w:tcW w:w="851" w:type="pct"/>
                  <w:tcBorders>
                    <w:tl2br w:val="nil"/>
                    <w:tr2bl w:val="nil"/>
                  </w:tcBorders>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水土流失</w:t>
                  </w:r>
                </w:p>
              </w:tc>
              <w:tc>
                <w:tcPr>
                  <w:tcW w:w="2049" w:type="pct"/>
                  <w:tcBorders>
                    <w:tl2br w:val="nil"/>
                    <w:tr2bl w:val="nil"/>
                  </w:tcBorders>
                  <w:vAlign w:val="center"/>
                </w:tcPr>
                <w:p>
                  <w:pPr>
                    <w:adjustRightInd w:val="0"/>
                    <w:snapToGrid w:val="0"/>
                    <w:rPr>
                      <w:rFonts w:ascii="Times New Roman" w:hAnsi="Times New Roman" w:eastAsia="宋体" w:cs="Times New Roman"/>
                      <w:szCs w:val="21"/>
                    </w:rPr>
                  </w:pPr>
                  <w:r>
                    <w:rPr>
                      <w:rFonts w:hint="eastAsia" w:ascii="Times New Roman" w:hAnsi="Times New Roman" w:eastAsia="宋体" w:cs="Times New Roman"/>
                      <w:szCs w:val="21"/>
                    </w:rPr>
                    <w:t>北桥河一侧修建拦挡措施，北桥河一侧减少堆存量，水土保持措施</w:t>
                  </w:r>
                  <w:r>
                    <w:rPr>
                      <w:rFonts w:hint="eastAsia" w:ascii="Times New Roman" w:hAnsi="Times New Roman" w:eastAsia="宋体" w:cs="Times New Roman"/>
                      <w:szCs w:val="21"/>
                      <w:lang w:eastAsia="zh-CN"/>
                    </w:rPr>
                    <w:t>以</w:t>
                  </w:r>
                  <w:bookmarkStart w:id="318" w:name="_GoBack"/>
                  <w:bookmarkEnd w:id="318"/>
                  <w:r>
                    <w:rPr>
                      <w:rFonts w:hint="eastAsia" w:ascii="Times New Roman" w:hAnsi="Times New Roman" w:eastAsia="宋体" w:cs="Times New Roman"/>
                      <w:szCs w:val="21"/>
                    </w:rPr>
                    <w:t>《水土保持方案初步设计报告书》为主</w:t>
                  </w:r>
                </w:p>
              </w:tc>
              <w:tc>
                <w:tcPr>
                  <w:tcW w:w="1690" w:type="pct"/>
                  <w:tcBorders>
                    <w:tl2br w:val="nil"/>
                    <w:tr2bl w:val="nil"/>
                  </w:tcBorders>
                  <w:vAlign w:val="center"/>
                </w:tcPr>
                <w:p>
                  <w:pPr>
                    <w:adjustRightInd w:val="0"/>
                    <w:snapToGrid w:val="0"/>
                    <w:rPr>
                      <w:rFonts w:ascii="Times New Roman" w:hAnsi="Times New Roman" w:eastAsia="宋体" w:cs="Times New Roman"/>
                      <w:bCs/>
                      <w:szCs w:val="21"/>
                    </w:rPr>
                  </w:pPr>
                  <w:r>
                    <w:rPr>
                      <w:rFonts w:hint="eastAsia" w:ascii="Times New Roman" w:hAnsi="Times New Roman" w:eastAsia="宋体" w:cs="Times New Roman"/>
                      <w:bCs/>
                      <w:szCs w:val="21"/>
                    </w:rPr>
                    <w:t>保障项目区靠北桥河一侧无大面积水土流失现象。</w:t>
                  </w:r>
                </w:p>
              </w:tc>
            </w:tr>
          </w:tbl>
          <w:p>
            <w:pPr>
              <w:widowControl/>
              <w:adjustRightInd w:val="0"/>
              <w:spacing w:line="360" w:lineRule="auto"/>
              <w:ind w:firstLine="482" w:firstLineChars="200"/>
              <w:rPr>
                <w:rFonts w:ascii="Times New Roman" w:hAnsi="Times New Roman" w:eastAsia="宋体" w:cs="Times New Roman"/>
                <w:b/>
                <w:bCs/>
                <w:sz w:val="24"/>
              </w:rPr>
            </w:pPr>
          </w:p>
          <w:p>
            <w:pPr>
              <w:widowControl/>
              <w:adjustRightInd w:val="0"/>
              <w:spacing w:line="360" w:lineRule="auto"/>
              <w:ind w:firstLine="482" w:firstLineChars="200"/>
              <w:rPr>
                <w:rFonts w:ascii="Times New Roman" w:hAnsi="Times New Roman" w:eastAsia="宋体" w:cs="Times New Roman"/>
                <w:b/>
                <w:bCs/>
                <w:sz w:val="24"/>
              </w:rPr>
            </w:pPr>
            <w:r>
              <w:rPr>
                <w:rFonts w:hint="eastAsia" w:ascii="Times New Roman" w:hAnsi="Times New Roman" w:eastAsia="宋体" w:cs="Times New Roman"/>
                <w:b/>
                <w:bCs/>
                <w:sz w:val="24"/>
              </w:rPr>
              <w:t>十一、监测计划</w:t>
            </w:r>
          </w:p>
          <w:p>
            <w:pPr>
              <w:spacing w:line="360" w:lineRule="auto"/>
              <w:ind w:firstLine="482" w:firstLineChars="200"/>
              <w:jc w:val="left"/>
              <w:rPr>
                <w:rFonts w:ascii="Times New Roman" w:hAnsi="Times New Roman" w:eastAsia="宋体" w:cs="Times New Roman"/>
                <w:b/>
                <w:sz w:val="24"/>
              </w:rPr>
            </w:pPr>
            <w:r>
              <w:rPr>
                <w:rFonts w:hint="eastAsia" w:ascii="Times New Roman" w:hAnsi="Times New Roman" w:eastAsia="宋体" w:cs="Times New Roman"/>
                <w:b/>
                <w:sz w:val="24"/>
              </w:rPr>
              <w:t>1、</w:t>
            </w:r>
            <w:r>
              <w:rPr>
                <w:rFonts w:ascii="Times New Roman" w:hAnsi="Times New Roman" w:eastAsia="宋体" w:cs="Times New Roman"/>
                <w:b/>
                <w:sz w:val="24"/>
              </w:rPr>
              <w:t>竣工环保验收监测计划</w:t>
            </w:r>
          </w:p>
          <w:p>
            <w:pPr>
              <w:spacing w:line="360" w:lineRule="auto"/>
              <w:ind w:firstLine="480" w:firstLineChars="200"/>
              <w:rPr>
                <w:rFonts w:ascii="Times New Roman" w:hAnsi="Times New Roman" w:eastAsia="宋体" w:cs="Times New Roman"/>
                <w:kern w:val="0"/>
                <w:sz w:val="24"/>
              </w:rPr>
            </w:pPr>
            <w:r>
              <w:rPr>
                <w:rFonts w:ascii="Times New Roman" w:hAnsi="Times New Roman" w:eastAsia="宋体" w:cs="Times New Roman"/>
                <w:kern w:val="0"/>
                <w:sz w:val="24"/>
              </w:rPr>
              <w:t>建设项目竣工环境保护验收监测是在建设项目建设完成后，依据环境保护主管部门的计划安排，由建设单位委托有资质的单位对建设项目设计、施工、投产各阶段环境保护工作开展监测，并依据环境影响评价文件及其批复提出的具体要求进行分析、评价并得出结论，为建设项目竣工环境保护验收提供技术依据。本次环评建议具体监测计划见下表。</w:t>
            </w:r>
          </w:p>
          <w:p>
            <w:pPr>
              <w:jc w:val="center"/>
              <w:rPr>
                <w:rFonts w:ascii="Times New Roman" w:hAnsi="Times New Roman" w:eastAsia="宋体"/>
                <w:b/>
                <w:szCs w:val="21"/>
              </w:rPr>
            </w:pPr>
            <w:r>
              <w:rPr>
                <w:rFonts w:ascii="Times New Roman" w:hAnsi="Times New Roman" w:eastAsia="宋体"/>
                <w:b/>
                <w:szCs w:val="21"/>
              </w:rPr>
              <w:t>表</w:t>
            </w:r>
            <w:r>
              <w:rPr>
                <w:rFonts w:hint="eastAsia" w:ascii="Times New Roman" w:hAnsi="Times New Roman" w:eastAsia="宋体"/>
                <w:b/>
                <w:szCs w:val="21"/>
              </w:rPr>
              <w:t xml:space="preserve">4-23  </w:t>
            </w:r>
            <w:r>
              <w:rPr>
                <w:rFonts w:ascii="Times New Roman" w:hAnsi="Times New Roman" w:eastAsia="宋体"/>
                <w:b/>
                <w:szCs w:val="21"/>
              </w:rPr>
              <w:t>项目竣工环保验收监测计划一览表</w:t>
            </w:r>
          </w:p>
          <w:tbl>
            <w:tblPr>
              <w:tblStyle w:val="2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4"/>
              <w:gridCol w:w="765"/>
              <w:gridCol w:w="1129"/>
              <w:gridCol w:w="1296"/>
              <w:gridCol w:w="1056"/>
              <w:gridCol w:w="2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9" w:type="pct"/>
                  <w:tcBorders>
                    <w:tl2br w:val="nil"/>
                    <w:tr2bl w:val="nil"/>
                  </w:tcBorders>
                  <w:vAlign w:val="center"/>
                </w:tcPr>
                <w:p>
                  <w:pPr>
                    <w:jc w:val="center"/>
                    <w:rPr>
                      <w:rFonts w:ascii="Times New Roman" w:hAnsi="Times New Roman" w:eastAsia="宋体" w:cs="Times New Roman"/>
                      <w:b/>
                      <w:bCs/>
                      <w:szCs w:val="21"/>
                    </w:rPr>
                  </w:pPr>
                  <w:r>
                    <w:rPr>
                      <w:rFonts w:ascii="Times New Roman" w:hAnsi="Times New Roman" w:eastAsia="宋体" w:cs="Times New Roman"/>
                      <w:b/>
                      <w:bCs/>
                      <w:szCs w:val="21"/>
                      <w:lang w:bidi="ar"/>
                    </w:rPr>
                    <w:t>序号</w:t>
                  </w:r>
                </w:p>
              </w:tc>
              <w:tc>
                <w:tcPr>
                  <w:tcW w:w="509" w:type="pct"/>
                  <w:tcBorders>
                    <w:tl2br w:val="nil"/>
                    <w:tr2bl w:val="nil"/>
                  </w:tcBorders>
                  <w:vAlign w:val="center"/>
                </w:tcPr>
                <w:p>
                  <w:pPr>
                    <w:jc w:val="center"/>
                    <w:rPr>
                      <w:rFonts w:ascii="Times New Roman" w:hAnsi="Times New Roman" w:eastAsia="宋体" w:cs="Times New Roman"/>
                      <w:b/>
                      <w:bCs/>
                      <w:szCs w:val="21"/>
                      <w:lang w:bidi="ar"/>
                    </w:rPr>
                  </w:pPr>
                  <w:r>
                    <w:rPr>
                      <w:rFonts w:ascii="Times New Roman" w:hAnsi="Times New Roman" w:eastAsia="宋体" w:cs="Times New Roman"/>
                      <w:b/>
                      <w:bCs/>
                      <w:szCs w:val="21"/>
                      <w:lang w:bidi="ar"/>
                    </w:rPr>
                    <w:t>监测</w:t>
                  </w:r>
                </w:p>
                <w:p>
                  <w:pPr>
                    <w:jc w:val="center"/>
                    <w:rPr>
                      <w:rFonts w:ascii="Times New Roman" w:hAnsi="Times New Roman" w:eastAsia="宋体" w:cs="Times New Roman"/>
                      <w:b/>
                      <w:bCs/>
                      <w:szCs w:val="21"/>
                    </w:rPr>
                  </w:pPr>
                  <w:r>
                    <w:rPr>
                      <w:rFonts w:ascii="Times New Roman" w:hAnsi="Times New Roman" w:eastAsia="宋体" w:cs="Times New Roman"/>
                      <w:b/>
                      <w:bCs/>
                      <w:szCs w:val="21"/>
                      <w:lang w:bidi="ar"/>
                    </w:rPr>
                    <w:t>内容</w:t>
                  </w:r>
                </w:p>
              </w:tc>
              <w:tc>
                <w:tcPr>
                  <w:tcW w:w="750" w:type="pct"/>
                  <w:tcBorders>
                    <w:tl2br w:val="nil"/>
                    <w:tr2bl w:val="nil"/>
                  </w:tcBorders>
                  <w:vAlign w:val="center"/>
                </w:tcPr>
                <w:p>
                  <w:pPr>
                    <w:jc w:val="center"/>
                    <w:rPr>
                      <w:rFonts w:ascii="Times New Roman" w:hAnsi="Times New Roman" w:eastAsia="宋体" w:cs="Times New Roman"/>
                      <w:b/>
                      <w:bCs/>
                      <w:szCs w:val="21"/>
                    </w:rPr>
                  </w:pPr>
                  <w:r>
                    <w:rPr>
                      <w:rFonts w:ascii="Times New Roman" w:hAnsi="Times New Roman" w:eastAsia="宋体" w:cs="Times New Roman"/>
                      <w:b/>
                      <w:bCs/>
                      <w:szCs w:val="21"/>
                      <w:lang w:bidi="ar"/>
                    </w:rPr>
                    <w:t>监测点位</w:t>
                  </w:r>
                </w:p>
              </w:tc>
              <w:tc>
                <w:tcPr>
                  <w:tcW w:w="861" w:type="pct"/>
                  <w:tcBorders>
                    <w:tl2br w:val="nil"/>
                    <w:tr2bl w:val="nil"/>
                  </w:tcBorders>
                  <w:vAlign w:val="center"/>
                </w:tcPr>
                <w:p>
                  <w:pPr>
                    <w:jc w:val="center"/>
                    <w:rPr>
                      <w:rFonts w:ascii="Times New Roman" w:hAnsi="Times New Roman" w:eastAsia="宋体" w:cs="Times New Roman"/>
                      <w:b/>
                      <w:bCs/>
                      <w:szCs w:val="21"/>
                    </w:rPr>
                  </w:pPr>
                  <w:r>
                    <w:rPr>
                      <w:rFonts w:ascii="Times New Roman" w:hAnsi="Times New Roman" w:eastAsia="宋体" w:cs="Times New Roman"/>
                      <w:b/>
                      <w:bCs/>
                      <w:szCs w:val="21"/>
                      <w:lang w:bidi="ar"/>
                    </w:rPr>
                    <w:t>监测项目</w:t>
                  </w:r>
                </w:p>
              </w:tc>
              <w:tc>
                <w:tcPr>
                  <w:tcW w:w="701" w:type="pct"/>
                  <w:tcBorders>
                    <w:tl2br w:val="nil"/>
                    <w:tr2bl w:val="nil"/>
                  </w:tcBorders>
                  <w:vAlign w:val="center"/>
                </w:tcPr>
                <w:p>
                  <w:pPr>
                    <w:jc w:val="center"/>
                    <w:rPr>
                      <w:rFonts w:ascii="Times New Roman" w:hAnsi="Times New Roman" w:eastAsia="宋体" w:cs="Times New Roman"/>
                      <w:b/>
                      <w:bCs/>
                      <w:szCs w:val="21"/>
                    </w:rPr>
                  </w:pPr>
                  <w:r>
                    <w:rPr>
                      <w:rFonts w:ascii="Times New Roman" w:hAnsi="Times New Roman" w:eastAsia="宋体" w:cs="Times New Roman"/>
                      <w:b/>
                      <w:bCs/>
                      <w:szCs w:val="21"/>
                      <w:lang w:bidi="ar"/>
                    </w:rPr>
                    <w:t>监测频率</w:t>
                  </w:r>
                </w:p>
              </w:tc>
              <w:tc>
                <w:tcPr>
                  <w:tcW w:w="1906" w:type="pct"/>
                  <w:tcBorders>
                    <w:tl2br w:val="nil"/>
                    <w:tr2bl w:val="nil"/>
                  </w:tcBorders>
                  <w:vAlign w:val="center"/>
                </w:tcPr>
                <w:p>
                  <w:pPr>
                    <w:jc w:val="center"/>
                    <w:rPr>
                      <w:rFonts w:ascii="Times New Roman" w:hAnsi="Times New Roman" w:eastAsia="宋体" w:cs="Times New Roman"/>
                      <w:b/>
                      <w:bCs/>
                      <w:szCs w:val="21"/>
                    </w:rPr>
                  </w:pPr>
                  <w:r>
                    <w:rPr>
                      <w:rFonts w:ascii="Times New Roman" w:hAnsi="Times New Roman" w:eastAsia="宋体" w:cs="Times New Roman"/>
                      <w:b/>
                      <w:bCs/>
                      <w:szCs w:val="21"/>
                      <w:lang w:bidi="ar"/>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9" w:type="pct"/>
                  <w:tcBorders>
                    <w:tl2br w:val="nil"/>
                    <w:tr2bl w:val="nil"/>
                  </w:tcBorders>
                  <w:vAlign w:val="center"/>
                </w:tcPr>
                <w:p>
                  <w:pPr>
                    <w:jc w:val="center"/>
                    <w:rPr>
                      <w:rFonts w:ascii="Times New Roman" w:hAnsi="Times New Roman" w:eastAsia="宋体" w:cs="Times New Roman"/>
                      <w:szCs w:val="21"/>
                      <w:lang w:bidi="ar"/>
                    </w:rPr>
                  </w:pPr>
                  <w:r>
                    <w:rPr>
                      <w:rFonts w:hint="eastAsia" w:ascii="Times New Roman" w:hAnsi="Times New Roman" w:eastAsia="宋体" w:cs="Times New Roman"/>
                      <w:szCs w:val="21"/>
                      <w:lang w:bidi="ar"/>
                    </w:rPr>
                    <w:t>1</w:t>
                  </w:r>
                </w:p>
              </w:tc>
              <w:tc>
                <w:tcPr>
                  <w:tcW w:w="509" w:type="pct"/>
                  <w:tcBorders>
                    <w:tl2br w:val="nil"/>
                    <w:tr2bl w:val="nil"/>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无组织</w:t>
                  </w:r>
                  <w:r>
                    <w:rPr>
                      <w:rFonts w:hint="eastAsia" w:ascii="Times New Roman" w:hAnsi="Times New Roman" w:eastAsia="宋体" w:cs="Times New Roman"/>
                      <w:szCs w:val="21"/>
                    </w:rPr>
                    <w:t>废气</w:t>
                  </w:r>
                </w:p>
              </w:tc>
              <w:tc>
                <w:tcPr>
                  <w:tcW w:w="750" w:type="pct"/>
                  <w:tcBorders>
                    <w:tl2br w:val="nil"/>
                    <w:tr2bl w:val="nil"/>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项目区厂界无组织监控点、参照点</w:t>
                  </w:r>
                </w:p>
              </w:tc>
              <w:tc>
                <w:tcPr>
                  <w:tcW w:w="861" w:type="pct"/>
                  <w:tcBorders>
                    <w:tl2br w:val="nil"/>
                    <w:tr2bl w:val="nil"/>
                  </w:tcBorders>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颗粒物</w:t>
                  </w:r>
                </w:p>
              </w:tc>
              <w:tc>
                <w:tcPr>
                  <w:tcW w:w="701" w:type="pct"/>
                  <w:tcBorders>
                    <w:tl2br w:val="nil"/>
                    <w:tr2bl w:val="nil"/>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验收监测</w:t>
                  </w:r>
                  <w:r>
                    <w:rPr>
                      <w:rFonts w:hint="eastAsia" w:ascii="Times New Roman" w:hAnsi="Times New Roman" w:eastAsia="宋体" w:cs="Times New Roman"/>
                      <w:szCs w:val="21"/>
                    </w:rPr>
                    <w:t>2天，每天3次</w:t>
                  </w:r>
                </w:p>
              </w:tc>
              <w:tc>
                <w:tcPr>
                  <w:tcW w:w="1906" w:type="pct"/>
                  <w:tcBorders>
                    <w:tl2br w:val="nil"/>
                    <w:tr2bl w:val="nil"/>
                  </w:tcBorders>
                  <w:vAlign w:val="center"/>
                </w:tcPr>
                <w:p>
                  <w:pPr>
                    <w:ind w:firstLine="420" w:firstLineChars="200"/>
                    <w:rPr>
                      <w:rFonts w:ascii="Times New Roman" w:hAnsi="Times New Roman" w:eastAsia="宋体" w:cs="Times New Roman"/>
                      <w:szCs w:val="21"/>
                    </w:rPr>
                  </w:pPr>
                  <w:r>
                    <w:rPr>
                      <w:rFonts w:ascii="Times New Roman" w:hAnsi="Times New Roman" w:eastAsia="宋体" w:cs="Times New Roman"/>
                      <w:szCs w:val="21"/>
                    </w:rPr>
                    <w:t>《</w:t>
                  </w:r>
                  <w:r>
                    <w:rPr>
                      <w:rFonts w:hint="eastAsia" w:ascii="Times New Roman" w:hAnsi="Times New Roman" w:eastAsia="宋体" w:cs="Times New Roman"/>
                      <w:szCs w:val="21"/>
                    </w:rPr>
                    <w:t>大气污染物综合排放标准</w:t>
                  </w:r>
                  <w:r>
                    <w:rPr>
                      <w:rFonts w:ascii="Times New Roman" w:hAnsi="Times New Roman" w:eastAsia="宋体" w:cs="Times New Roman"/>
                      <w:szCs w:val="21"/>
                    </w:rPr>
                    <w:t>》（GB16297-1996）无组织排放监控浓度限值</w:t>
                  </w:r>
                  <w:r>
                    <w:rPr>
                      <w:rFonts w:ascii="Times New Roman" w:hAnsi="Times New Roman" w:eastAsia="宋体" w:cs="Times New Roman"/>
                      <w:szCs w:val="21"/>
                      <w:lang w:bidi="ar"/>
                    </w:rPr>
                    <w:t>（</w:t>
                  </w:r>
                  <w:r>
                    <w:rPr>
                      <w:rFonts w:hint="eastAsia" w:ascii="Times New Roman" w:hAnsi="Times New Roman" w:eastAsia="宋体" w:cs="Times New Roman"/>
                      <w:szCs w:val="21"/>
                    </w:rPr>
                    <w:t>1</w:t>
                  </w:r>
                  <w:r>
                    <w:rPr>
                      <w:rFonts w:ascii="Times New Roman" w:hAnsi="Times New Roman" w:eastAsia="宋体" w:cs="Times New Roman"/>
                      <w:szCs w:val="21"/>
                    </w:rPr>
                    <w:t>.0</w:t>
                  </w:r>
                  <w:r>
                    <w:rPr>
                      <w:rFonts w:ascii="Times New Roman" w:hAnsi="Times New Roman" w:eastAsia="宋体" w:cs="Times New Roman"/>
                      <w:szCs w:val="21"/>
                      <w:lang w:bidi="ar"/>
                    </w:rPr>
                    <w:t>mg/m</w:t>
                  </w:r>
                  <w:r>
                    <w:rPr>
                      <w:rFonts w:ascii="Times New Roman" w:hAnsi="Times New Roman" w:eastAsia="宋体" w:cs="Times New Roman"/>
                      <w:szCs w:val="21"/>
                      <w:vertAlign w:val="superscript"/>
                      <w:lang w:bidi="ar"/>
                    </w:rPr>
                    <w:t>3</w:t>
                  </w:r>
                  <w:r>
                    <w:rPr>
                      <w:rFonts w:ascii="Times New Roman" w:hAnsi="Times New Roman" w:eastAsia="宋体" w:cs="Times New Roman"/>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9" w:type="pct"/>
                  <w:tcBorders>
                    <w:tl2br w:val="nil"/>
                    <w:tr2bl w:val="nil"/>
                  </w:tcBorders>
                  <w:vAlign w:val="center"/>
                </w:tcPr>
                <w:p>
                  <w:pPr>
                    <w:jc w:val="center"/>
                    <w:rPr>
                      <w:rFonts w:ascii="Times New Roman" w:hAnsi="Times New Roman" w:eastAsia="宋体" w:cs="Times New Roman"/>
                      <w:szCs w:val="21"/>
                      <w:lang w:bidi="ar"/>
                    </w:rPr>
                  </w:pPr>
                  <w:r>
                    <w:rPr>
                      <w:rFonts w:hint="eastAsia" w:ascii="Times New Roman" w:hAnsi="Times New Roman" w:eastAsia="宋体" w:cs="Times New Roman"/>
                      <w:szCs w:val="21"/>
                      <w:lang w:bidi="ar"/>
                    </w:rPr>
                    <w:t>2</w:t>
                  </w:r>
                </w:p>
              </w:tc>
              <w:tc>
                <w:tcPr>
                  <w:tcW w:w="509" w:type="pct"/>
                  <w:tcBorders>
                    <w:tl2br w:val="nil"/>
                    <w:tr2bl w:val="nil"/>
                  </w:tcBorders>
                  <w:vAlign w:val="center"/>
                </w:tcPr>
                <w:p>
                  <w:pPr>
                    <w:jc w:val="center"/>
                    <w:rPr>
                      <w:rFonts w:ascii="Times New Roman" w:hAnsi="Times New Roman" w:eastAsia="宋体" w:cs="Times New Roman"/>
                      <w:szCs w:val="21"/>
                      <w:lang w:bidi="ar"/>
                    </w:rPr>
                  </w:pPr>
                  <w:r>
                    <w:rPr>
                      <w:rFonts w:ascii="Times New Roman" w:hAnsi="Times New Roman" w:eastAsia="宋体" w:cs="Times New Roman"/>
                      <w:szCs w:val="21"/>
                      <w:lang w:bidi="ar"/>
                    </w:rPr>
                    <w:t>噪声</w:t>
                  </w:r>
                </w:p>
              </w:tc>
              <w:tc>
                <w:tcPr>
                  <w:tcW w:w="750" w:type="pct"/>
                  <w:tcBorders>
                    <w:tl2br w:val="nil"/>
                    <w:tr2bl w:val="nil"/>
                  </w:tcBorders>
                  <w:vAlign w:val="center"/>
                </w:tcPr>
                <w:p>
                  <w:pPr>
                    <w:jc w:val="center"/>
                    <w:rPr>
                      <w:rFonts w:ascii="Times New Roman" w:hAnsi="Times New Roman" w:eastAsia="宋体" w:cs="Times New Roman"/>
                      <w:szCs w:val="21"/>
                      <w:lang w:bidi="ar"/>
                    </w:rPr>
                  </w:pPr>
                  <w:r>
                    <w:rPr>
                      <w:rFonts w:ascii="Times New Roman" w:hAnsi="Times New Roman" w:eastAsia="宋体" w:cs="Times New Roman"/>
                      <w:szCs w:val="21"/>
                      <w:lang w:bidi="ar"/>
                    </w:rPr>
                    <w:t>厂界四周各设一个监测点</w:t>
                  </w:r>
                </w:p>
              </w:tc>
              <w:tc>
                <w:tcPr>
                  <w:tcW w:w="861" w:type="pct"/>
                  <w:tcBorders>
                    <w:tl2br w:val="nil"/>
                    <w:tr2bl w:val="nil"/>
                  </w:tcBorders>
                  <w:vAlign w:val="center"/>
                </w:tcPr>
                <w:p>
                  <w:pPr>
                    <w:jc w:val="center"/>
                    <w:rPr>
                      <w:rFonts w:ascii="Times New Roman" w:hAnsi="Times New Roman" w:eastAsia="宋体" w:cs="Times New Roman"/>
                      <w:szCs w:val="21"/>
                      <w:lang w:bidi="ar"/>
                    </w:rPr>
                  </w:pPr>
                  <w:r>
                    <w:rPr>
                      <w:rFonts w:ascii="Times New Roman" w:hAnsi="Times New Roman" w:eastAsia="宋体" w:cs="Times New Roman"/>
                      <w:szCs w:val="21"/>
                      <w:lang w:bidi="ar"/>
                    </w:rPr>
                    <w:t>等效连续A声级</w:t>
                  </w:r>
                </w:p>
              </w:tc>
              <w:tc>
                <w:tcPr>
                  <w:tcW w:w="701" w:type="pct"/>
                  <w:tcBorders>
                    <w:tl2br w:val="nil"/>
                    <w:tr2bl w:val="nil"/>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验收监测</w:t>
                  </w:r>
                  <w:r>
                    <w:rPr>
                      <w:rFonts w:hint="eastAsia" w:ascii="Times New Roman" w:hAnsi="Times New Roman" w:eastAsia="宋体" w:cs="Times New Roman"/>
                      <w:szCs w:val="21"/>
                    </w:rPr>
                    <w:t>2天，每天3次</w:t>
                  </w:r>
                </w:p>
              </w:tc>
              <w:tc>
                <w:tcPr>
                  <w:tcW w:w="1906" w:type="pct"/>
                  <w:tcBorders>
                    <w:tl2br w:val="nil"/>
                    <w:tr2bl w:val="nil"/>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《工业企业厂界环境噪声排放标准》（GB12348-2008）2类标准</w:t>
                  </w:r>
                </w:p>
              </w:tc>
            </w:tr>
          </w:tbl>
          <w:p>
            <w:pPr>
              <w:widowControl/>
              <w:adjustRightInd w:val="0"/>
              <w:spacing w:line="360" w:lineRule="auto"/>
              <w:ind w:firstLine="482" w:firstLineChars="200"/>
              <w:rPr>
                <w:rFonts w:ascii="Times New Roman" w:hAnsi="Times New Roman" w:eastAsia="宋体" w:cs="Times New Roman"/>
                <w:b/>
                <w:bCs/>
                <w:sz w:val="24"/>
              </w:rPr>
            </w:pPr>
            <w:r>
              <w:rPr>
                <w:rFonts w:hint="eastAsia" w:ascii="Times New Roman" w:hAnsi="Times New Roman" w:eastAsia="宋体" w:cs="Times New Roman"/>
                <w:b/>
                <w:bCs/>
                <w:sz w:val="24"/>
              </w:rPr>
              <w:t>2、运营期环境监测计划</w:t>
            </w:r>
          </w:p>
          <w:p>
            <w:pPr>
              <w:widowControl/>
              <w:adjustRightIn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项目</w:t>
            </w:r>
            <w:r>
              <w:rPr>
                <w:rFonts w:hint="eastAsia" w:ascii="Times New Roman" w:hAnsi="Times New Roman" w:eastAsia="宋体" w:cs="Times New Roman"/>
                <w:sz w:val="24"/>
              </w:rPr>
              <w:t>运行期</w:t>
            </w:r>
            <w:r>
              <w:rPr>
                <w:rFonts w:ascii="Times New Roman" w:hAnsi="Times New Roman" w:eastAsia="宋体" w:cs="Times New Roman"/>
                <w:sz w:val="24"/>
              </w:rPr>
              <w:t>大气监测</w:t>
            </w:r>
            <w:r>
              <w:rPr>
                <w:rFonts w:hint="eastAsia" w:ascii="Times New Roman" w:hAnsi="Times New Roman" w:eastAsia="宋体" w:cs="Times New Roman"/>
                <w:sz w:val="24"/>
              </w:rPr>
              <w:t>要求</w:t>
            </w:r>
            <w:r>
              <w:rPr>
                <w:rFonts w:ascii="Times New Roman" w:hAnsi="Times New Roman" w:eastAsia="宋体" w:cs="Times New Roman"/>
                <w:sz w:val="24"/>
              </w:rPr>
              <w:t>见表</w:t>
            </w:r>
            <w:r>
              <w:rPr>
                <w:rFonts w:hint="eastAsia" w:ascii="Times New Roman" w:hAnsi="Times New Roman" w:eastAsia="宋体" w:cs="Times New Roman"/>
                <w:sz w:val="24"/>
              </w:rPr>
              <w:t>4-24</w:t>
            </w:r>
            <w:r>
              <w:rPr>
                <w:rFonts w:ascii="Times New Roman" w:hAnsi="Times New Roman" w:eastAsia="宋体" w:cs="Times New Roman"/>
                <w:sz w:val="24"/>
              </w:rPr>
              <w:t>。</w:t>
            </w:r>
          </w:p>
          <w:p>
            <w:pPr>
              <w:jc w:val="center"/>
              <w:rPr>
                <w:rFonts w:ascii="Times New Roman" w:hAnsi="Times New Roman" w:eastAsia="宋体"/>
                <w:b/>
                <w:szCs w:val="21"/>
              </w:rPr>
            </w:pPr>
            <w:r>
              <w:rPr>
                <w:rFonts w:ascii="Times New Roman" w:hAnsi="Times New Roman" w:eastAsia="宋体"/>
                <w:b/>
                <w:szCs w:val="21"/>
              </w:rPr>
              <w:t>表</w:t>
            </w:r>
            <w:r>
              <w:rPr>
                <w:rFonts w:hint="eastAsia" w:ascii="Times New Roman" w:hAnsi="Times New Roman" w:eastAsia="宋体"/>
                <w:b/>
                <w:szCs w:val="21"/>
              </w:rPr>
              <w:t>4-24</w:t>
            </w:r>
            <w:r>
              <w:rPr>
                <w:rFonts w:ascii="Times New Roman" w:hAnsi="Times New Roman" w:eastAsia="宋体"/>
                <w:b/>
                <w:szCs w:val="21"/>
              </w:rPr>
              <w:t xml:space="preserve"> 项目监测计划一览表</w:t>
            </w:r>
          </w:p>
          <w:tbl>
            <w:tblPr>
              <w:tblStyle w:val="2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7"/>
              <w:gridCol w:w="1567"/>
              <w:gridCol w:w="1676"/>
              <w:gridCol w:w="1171"/>
              <w:gridCol w:w="890"/>
              <w:gridCol w:w="1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04" w:type="pct"/>
                  <w:tcBorders>
                    <w:tl2br w:val="nil"/>
                    <w:tr2bl w:val="nil"/>
                  </w:tcBorders>
                  <w:vAlign w:val="center"/>
                </w:tcPr>
                <w:p>
                  <w:pPr>
                    <w:jc w:val="center"/>
                    <w:rPr>
                      <w:rFonts w:ascii="Times New Roman" w:hAnsi="Times New Roman" w:eastAsia="宋体"/>
                      <w:b/>
                      <w:szCs w:val="21"/>
                    </w:rPr>
                  </w:pPr>
                  <w:r>
                    <w:rPr>
                      <w:rFonts w:ascii="Times New Roman" w:hAnsi="Times New Roman" w:eastAsia="宋体"/>
                      <w:b/>
                      <w:szCs w:val="21"/>
                    </w:rPr>
                    <w:t>因素</w:t>
                  </w:r>
                </w:p>
              </w:tc>
              <w:tc>
                <w:tcPr>
                  <w:tcW w:w="1041" w:type="pct"/>
                  <w:tcBorders>
                    <w:tl2br w:val="nil"/>
                    <w:tr2bl w:val="nil"/>
                  </w:tcBorders>
                  <w:vAlign w:val="center"/>
                </w:tcPr>
                <w:p>
                  <w:pPr>
                    <w:jc w:val="center"/>
                    <w:rPr>
                      <w:rFonts w:ascii="Times New Roman" w:hAnsi="Times New Roman" w:eastAsia="宋体"/>
                      <w:b/>
                      <w:szCs w:val="21"/>
                    </w:rPr>
                  </w:pPr>
                  <w:r>
                    <w:rPr>
                      <w:rFonts w:ascii="Times New Roman" w:hAnsi="Times New Roman" w:eastAsia="宋体"/>
                      <w:b/>
                      <w:szCs w:val="21"/>
                    </w:rPr>
                    <w:t>监测点位</w:t>
                  </w:r>
                </w:p>
              </w:tc>
              <w:tc>
                <w:tcPr>
                  <w:tcW w:w="1114" w:type="pct"/>
                  <w:tcBorders>
                    <w:tl2br w:val="nil"/>
                    <w:tr2bl w:val="nil"/>
                  </w:tcBorders>
                  <w:vAlign w:val="center"/>
                </w:tcPr>
                <w:p>
                  <w:pPr>
                    <w:jc w:val="center"/>
                    <w:rPr>
                      <w:rFonts w:ascii="Times New Roman" w:hAnsi="Times New Roman" w:eastAsia="宋体"/>
                      <w:b/>
                      <w:szCs w:val="21"/>
                    </w:rPr>
                  </w:pPr>
                  <w:r>
                    <w:rPr>
                      <w:rFonts w:ascii="Times New Roman" w:hAnsi="Times New Roman" w:eastAsia="宋体"/>
                      <w:b/>
                      <w:szCs w:val="21"/>
                    </w:rPr>
                    <w:t>监测项目</w:t>
                  </w:r>
                </w:p>
              </w:tc>
              <w:tc>
                <w:tcPr>
                  <w:tcW w:w="778" w:type="pct"/>
                  <w:tcBorders>
                    <w:tl2br w:val="nil"/>
                    <w:tr2bl w:val="nil"/>
                  </w:tcBorders>
                  <w:vAlign w:val="center"/>
                </w:tcPr>
                <w:p>
                  <w:pPr>
                    <w:jc w:val="center"/>
                    <w:rPr>
                      <w:rFonts w:ascii="Times New Roman" w:hAnsi="Times New Roman" w:eastAsia="宋体"/>
                      <w:b/>
                      <w:szCs w:val="21"/>
                    </w:rPr>
                  </w:pPr>
                  <w:r>
                    <w:rPr>
                      <w:rFonts w:ascii="Times New Roman" w:hAnsi="Times New Roman" w:eastAsia="宋体"/>
                      <w:b/>
                      <w:szCs w:val="21"/>
                    </w:rPr>
                    <w:t>时间及频次</w:t>
                  </w:r>
                </w:p>
              </w:tc>
              <w:tc>
                <w:tcPr>
                  <w:tcW w:w="592" w:type="pct"/>
                  <w:tcBorders>
                    <w:tl2br w:val="nil"/>
                    <w:tr2bl w:val="nil"/>
                  </w:tcBorders>
                  <w:vAlign w:val="center"/>
                </w:tcPr>
                <w:p>
                  <w:pPr>
                    <w:jc w:val="center"/>
                    <w:rPr>
                      <w:rFonts w:ascii="Times New Roman" w:hAnsi="Times New Roman" w:eastAsia="宋体"/>
                      <w:b/>
                      <w:szCs w:val="21"/>
                    </w:rPr>
                  </w:pPr>
                  <w:r>
                    <w:rPr>
                      <w:rFonts w:ascii="Times New Roman" w:hAnsi="Times New Roman" w:eastAsia="宋体"/>
                      <w:b/>
                      <w:szCs w:val="21"/>
                    </w:rPr>
                    <w:t>执行机构</w:t>
                  </w:r>
                </w:p>
              </w:tc>
              <w:tc>
                <w:tcPr>
                  <w:tcW w:w="1067" w:type="pct"/>
                  <w:tcBorders>
                    <w:tl2br w:val="nil"/>
                    <w:tr2bl w:val="nil"/>
                  </w:tcBorders>
                  <w:vAlign w:val="center"/>
                </w:tcPr>
                <w:p>
                  <w:pPr>
                    <w:jc w:val="center"/>
                    <w:rPr>
                      <w:rFonts w:ascii="Times New Roman" w:hAnsi="Times New Roman" w:eastAsia="宋体"/>
                      <w:b/>
                      <w:szCs w:val="21"/>
                    </w:rPr>
                  </w:pPr>
                  <w:r>
                    <w:rPr>
                      <w:rFonts w:ascii="Times New Roman" w:hAnsi="Times New Roman" w:eastAsia="宋体"/>
                      <w:b/>
                      <w:szCs w:val="21"/>
                    </w:rPr>
                    <w:t>监督机构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04" w:type="pct"/>
                  <w:tcBorders>
                    <w:tl2br w:val="nil"/>
                    <w:tr2bl w:val="nil"/>
                  </w:tcBorders>
                  <w:vAlign w:val="center"/>
                </w:tcPr>
                <w:p>
                  <w:pPr>
                    <w:jc w:val="center"/>
                    <w:rPr>
                      <w:rFonts w:ascii="Times New Roman" w:hAnsi="Times New Roman" w:eastAsia="宋体"/>
                      <w:szCs w:val="21"/>
                    </w:rPr>
                  </w:pPr>
                  <w:r>
                    <w:rPr>
                      <w:rFonts w:ascii="Times New Roman" w:hAnsi="Times New Roman" w:eastAsia="宋体"/>
                      <w:szCs w:val="21"/>
                    </w:rPr>
                    <w:t>废气</w:t>
                  </w:r>
                </w:p>
              </w:tc>
              <w:tc>
                <w:tcPr>
                  <w:tcW w:w="1041" w:type="pct"/>
                  <w:tcBorders>
                    <w:tl2br w:val="nil"/>
                    <w:tr2bl w:val="nil"/>
                  </w:tcBorders>
                  <w:vAlign w:val="center"/>
                </w:tcPr>
                <w:p>
                  <w:pPr>
                    <w:jc w:val="center"/>
                    <w:rPr>
                      <w:rFonts w:ascii="Times New Roman" w:hAnsi="Times New Roman" w:eastAsia="宋体"/>
                      <w:szCs w:val="21"/>
                    </w:rPr>
                  </w:pPr>
                  <w:r>
                    <w:rPr>
                      <w:rFonts w:ascii="Times New Roman" w:hAnsi="Times New Roman" w:eastAsia="宋体" w:cs="Times New Roman"/>
                      <w:kern w:val="0"/>
                      <w:szCs w:val="21"/>
                      <w:lang w:bidi="ar"/>
                    </w:rPr>
                    <w:t>在排放源上风向2~50m范围内（1个），在排放源下风向2~50m范围内（</w:t>
                  </w:r>
                  <w:r>
                    <w:rPr>
                      <w:rFonts w:hint="eastAsia" w:ascii="Times New Roman" w:hAnsi="Times New Roman" w:eastAsia="宋体" w:cs="Times New Roman"/>
                      <w:kern w:val="0"/>
                      <w:szCs w:val="21"/>
                      <w:lang w:bidi="ar"/>
                    </w:rPr>
                    <w:t>3</w:t>
                  </w:r>
                  <w:r>
                    <w:rPr>
                      <w:rFonts w:ascii="Times New Roman" w:hAnsi="Times New Roman" w:eastAsia="宋体" w:cs="Times New Roman"/>
                      <w:kern w:val="0"/>
                      <w:szCs w:val="21"/>
                      <w:lang w:bidi="ar"/>
                    </w:rPr>
                    <w:t>个）。</w:t>
                  </w:r>
                </w:p>
              </w:tc>
              <w:tc>
                <w:tcPr>
                  <w:tcW w:w="1114" w:type="pct"/>
                  <w:tcBorders>
                    <w:tl2br w:val="nil"/>
                    <w:tr2bl w:val="nil"/>
                  </w:tcBorders>
                  <w:vAlign w:val="center"/>
                </w:tcPr>
                <w:p>
                  <w:pPr>
                    <w:jc w:val="center"/>
                    <w:rPr>
                      <w:rFonts w:ascii="Times New Roman" w:hAnsi="Times New Roman" w:eastAsia="宋体"/>
                      <w:szCs w:val="21"/>
                    </w:rPr>
                  </w:pPr>
                  <w:r>
                    <w:rPr>
                      <w:rFonts w:hint="eastAsia" w:ascii="Times New Roman" w:hAnsi="Times New Roman" w:eastAsia="宋体"/>
                      <w:szCs w:val="21"/>
                    </w:rPr>
                    <w:t>颗粒物</w:t>
                  </w:r>
                </w:p>
              </w:tc>
              <w:tc>
                <w:tcPr>
                  <w:tcW w:w="778" w:type="pct"/>
                  <w:tcBorders>
                    <w:tl2br w:val="nil"/>
                    <w:tr2bl w:val="nil"/>
                  </w:tcBorders>
                  <w:vAlign w:val="center"/>
                </w:tcPr>
                <w:p>
                  <w:pPr>
                    <w:jc w:val="center"/>
                    <w:rPr>
                      <w:rFonts w:ascii="Times New Roman" w:hAnsi="Times New Roman" w:eastAsia="宋体"/>
                      <w:szCs w:val="21"/>
                    </w:rPr>
                  </w:pPr>
                  <w:r>
                    <w:rPr>
                      <w:rFonts w:hint="eastAsia" w:ascii="Times New Roman" w:hAnsi="Times New Roman" w:eastAsia="宋体"/>
                      <w:szCs w:val="21"/>
                    </w:rPr>
                    <w:t>1次/半年</w:t>
                  </w:r>
                </w:p>
              </w:tc>
              <w:tc>
                <w:tcPr>
                  <w:tcW w:w="592" w:type="pct"/>
                  <w:tcBorders>
                    <w:tl2br w:val="nil"/>
                    <w:tr2bl w:val="nil"/>
                  </w:tcBorders>
                  <w:vAlign w:val="center"/>
                </w:tcPr>
                <w:p>
                  <w:pPr>
                    <w:jc w:val="center"/>
                    <w:rPr>
                      <w:rFonts w:ascii="Times New Roman" w:hAnsi="Times New Roman" w:eastAsia="宋体"/>
                      <w:szCs w:val="21"/>
                    </w:rPr>
                  </w:pPr>
                  <w:r>
                    <w:rPr>
                      <w:rFonts w:ascii="Times New Roman" w:hAnsi="Times New Roman" w:eastAsia="宋体"/>
                      <w:szCs w:val="21"/>
                    </w:rPr>
                    <w:t>有资质的监测单位</w:t>
                  </w:r>
                </w:p>
              </w:tc>
              <w:tc>
                <w:tcPr>
                  <w:tcW w:w="1067" w:type="pct"/>
                  <w:tcBorders>
                    <w:tl2br w:val="nil"/>
                    <w:tr2bl w:val="nil"/>
                  </w:tcBorders>
                  <w:vAlign w:val="center"/>
                </w:tcPr>
                <w:p>
                  <w:pPr>
                    <w:jc w:val="center"/>
                    <w:rPr>
                      <w:rFonts w:ascii="Times New Roman" w:hAnsi="Times New Roman" w:eastAsia="宋体"/>
                      <w:szCs w:val="21"/>
                    </w:rPr>
                  </w:pPr>
                  <w:r>
                    <w:rPr>
                      <w:rFonts w:hint="eastAsia" w:ascii="Times New Roman" w:hAnsi="Times New Roman" w:eastAsia="宋体"/>
                      <w:szCs w:val="21"/>
                    </w:rPr>
                    <w:t>临沧市生态环境局云县分局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04" w:type="pct"/>
                  <w:tcBorders>
                    <w:tl2br w:val="nil"/>
                    <w:tr2bl w:val="nil"/>
                  </w:tcBorders>
                  <w:vAlign w:val="center"/>
                </w:tcPr>
                <w:p>
                  <w:pPr>
                    <w:jc w:val="center"/>
                    <w:rPr>
                      <w:rFonts w:ascii="Times New Roman" w:hAnsi="Times New Roman" w:eastAsia="宋体"/>
                      <w:szCs w:val="21"/>
                    </w:rPr>
                  </w:pPr>
                  <w:r>
                    <w:rPr>
                      <w:rFonts w:hint="eastAsia" w:ascii="Times New Roman" w:hAnsi="Times New Roman" w:eastAsia="宋体"/>
                      <w:szCs w:val="21"/>
                    </w:rPr>
                    <w:t>噪声</w:t>
                  </w:r>
                </w:p>
              </w:tc>
              <w:tc>
                <w:tcPr>
                  <w:tcW w:w="1041" w:type="pct"/>
                  <w:tcBorders>
                    <w:tl2br w:val="nil"/>
                    <w:tr2bl w:val="nil"/>
                  </w:tcBorders>
                  <w:vAlign w:val="center"/>
                </w:tcPr>
                <w:p>
                  <w:pPr>
                    <w:jc w:val="center"/>
                    <w:rPr>
                      <w:rFonts w:ascii="Times New Roman" w:hAnsi="Times New Roman" w:eastAsia="宋体" w:cs="Times New Roman"/>
                    </w:rPr>
                  </w:pPr>
                  <w:r>
                    <w:rPr>
                      <w:rFonts w:ascii="Times New Roman" w:hAnsi="Times New Roman" w:eastAsia="宋体" w:cs="Times New Roman"/>
                      <w:szCs w:val="21"/>
                      <w:lang w:val="zh-CN"/>
                    </w:rPr>
                    <w:t>项目东、南、西、北厂界各设1个监测点</w:t>
                  </w:r>
                </w:p>
              </w:tc>
              <w:tc>
                <w:tcPr>
                  <w:tcW w:w="1114" w:type="pct"/>
                  <w:tcBorders>
                    <w:tl2br w:val="nil"/>
                    <w:tr2bl w:val="nil"/>
                  </w:tcBorders>
                  <w:vAlign w:val="center"/>
                </w:tcPr>
                <w:p>
                  <w:pPr>
                    <w:pStyle w:val="11"/>
                    <w:jc w:val="center"/>
                    <w:rPr>
                      <w:rFonts w:ascii="Times New Roman" w:hAnsi="Times New Roman" w:eastAsia="宋体" w:cs="Times New Roman"/>
                      <w:sz w:val="21"/>
                      <w:szCs w:val="21"/>
                    </w:rPr>
                  </w:pPr>
                  <w:r>
                    <w:rPr>
                      <w:rFonts w:ascii="Times New Roman" w:hAnsi="Times New Roman" w:eastAsia="宋体" w:cs="Times New Roman"/>
                      <w:sz w:val="21"/>
                      <w:szCs w:val="21"/>
                      <w:lang w:val="zh-CN"/>
                    </w:rPr>
                    <w:t>噪声（Leq）</w:t>
                  </w:r>
                </w:p>
              </w:tc>
              <w:tc>
                <w:tcPr>
                  <w:tcW w:w="778" w:type="pct"/>
                  <w:tcBorders>
                    <w:tl2br w:val="nil"/>
                    <w:tr2bl w:val="nil"/>
                  </w:tcBorders>
                  <w:vAlign w:val="center"/>
                </w:tcPr>
                <w:p>
                  <w:pPr>
                    <w:jc w:val="center"/>
                    <w:rPr>
                      <w:rFonts w:ascii="Times New Roman" w:hAnsi="Times New Roman" w:eastAsia="宋体"/>
                      <w:szCs w:val="21"/>
                    </w:rPr>
                  </w:pPr>
                  <w:r>
                    <w:rPr>
                      <w:rFonts w:ascii="Times New Roman" w:hAnsi="Times New Roman" w:eastAsia="宋体" w:cs="Times New Roman"/>
                      <w:szCs w:val="21"/>
                    </w:rPr>
                    <w:t>一年一次</w:t>
                  </w:r>
                </w:p>
              </w:tc>
              <w:tc>
                <w:tcPr>
                  <w:tcW w:w="592" w:type="pct"/>
                  <w:tcBorders>
                    <w:tl2br w:val="nil"/>
                    <w:tr2bl w:val="nil"/>
                  </w:tcBorders>
                  <w:vAlign w:val="center"/>
                </w:tcPr>
                <w:p>
                  <w:pPr>
                    <w:jc w:val="center"/>
                    <w:rPr>
                      <w:rFonts w:ascii="Times New Roman" w:hAnsi="Times New Roman" w:eastAsia="宋体"/>
                      <w:szCs w:val="21"/>
                    </w:rPr>
                  </w:pPr>
                  <w:r>
                    <w:rPr>
                      <w:rFonts w:ascii="Times New Roman" w:hAnsi="Times New Roman" w:eastAsia="宋体"/>
                      <w:szCs w:val="21"/>
                    </w:rPr>
                    <w:t>有资质的监测单位</w:t>
                  </w:r>
                </w:p>
              </w:tc>
              <w:tc>
                <w:tcPr>
                  <w:tcW w:w="1067" w:type="pct"/>
                  <w:tcBorders>
                    <w:tl2br w:val="nil"/>
                    <w:tr2bl w:val="nil"/>
                  </w:tcBorders>
                  <w:vAlign w:val="center"/>
                </w:tcPr>
                <w:p>
                  <w:pPr>
                    <w:jc w:val="center"/>
                    <w:rPr>
                      <w:rFonts w:ascii="Times New Roman" w:hAnsi="Times New Roman" w:eastAsia="宋体"/>
                      <w:szCs w:val="21"/>
                    </w:rPr>
                  </w:pPr>
                  <w:r>
                    <w:rPr>
                      <w:rFonts w:hint="eastAsia" w:ascii="Times New Roman" w:hAnsi="Times New Roman" w:eastAsia="宋体"/>
                      <w:szCs w:val="21"/>
                    </w:rPr>
                    <w:t>临沧市生态环境局云县分局</w:t>
                  </w:r>
                </w:p>
              </w:tc>
            </w:tr>
          </w:tbl>
          <w:p>
            <w:pPr>
              <w:spacing w:line="360" w:lineRule="auto"/>
              <w:ind w:firstLine="480" w:firstLineChars="200"/>
              <w:rPr>
                <w:rFonts w:ascii="Times New Roman" w:hAnsi="Times New Roman" w:eastAsia="宋体" w:cs="Times New Roman"/>
                <w:sz w:val="24"/>
              </w:rPr>
            </w:pPr>
          </w:p>
        </w:tc>
      </w:tr>
    </w:tbl>
    <w:p>
      <w:pPr>
        <w:spacing w:line="360" w:lineRule="auto"/>
        <w:rPr>
          <w:rFonts w:ascii="Times New Roman" w:hAnsi="Times New Roman" w:eastAsia="宋体" w:cs="Times New Roman"/>
          <w:kern w:val="0"/>
          <w:sz w:val="30"/>
          <w:szCs w:val="30"/>
          <w:lang w:bidi="ar"/>
        </w:rPr>
        <w:sectPr>
          <w:pgSz w:w="11906" w:h="16838"/>
          <w:pgMar w:top="1440" w:right="1800" w:bottom="1440" w:left="1800" w:header="851" w:footer="992" w:gutter="0"/>
          <w:cols w:space="425" w:num="1"/>
          <w:docGrid w:type="lines" w:linePitch="312" w:charSpace="0"/>
        </w:sectPr>
      </w:pPr>
    </w:p>
    <w:p>
      <w:pPr>
        <w:pStyle w:val="2"/>
        <w:adjustRightInd w:val="0"/>
        <w:snapToGrid w:val="0"/>
        <w:spacing w:before="0" w:after="0" w:line="240" w:lineRule="auto"/>
        <w:jc w:val="center"/>
        <w:rPr>
          <w:rFonts w:ascii="Times New Roman" w:hAnsi="Times New Roman" w:eastAsia="宋体" w:cs="Times New Roman"/>
        </w:rPr>
      </w:pPr>
      <w:bookmarkStart w:id="312" w:name="_Toc13773"/>
      <w:r>
        <w:rPr>
          <w:rFonts w:ascii="Times New Roman" w:hAnsi="Times New Roman" w:eastAsia="宋体" w:cs="Times New Roman"/>
        </w:rPr>
        <w:t>五、环境保护措施监督检查清单</w:t>
      </w:r>
      <w:bookmarkEnd w:id="312"/>
    </w:p>
    <w:tbl>
      <w:tblPr>
        <w:tblStyle w:val="30"/>
        <w:tblW w:w="85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3"/>
        <w:gridCol w:w="640"/>
        <w:gridCol w:w="1008"/>
        <w:gridCol w:w="1036"/>
        <w:gridCol w:w="1758"/>
        <w:gridCol w:w="2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jc w:val="center"/>
        </w:trPr>
        <w:tc>
          <w:tcPr>
            <w:tcW w:w="1343" w:type="dxa"/>
          </w:tcPr>
          <w:p>
            <w:pPr>
              <w:wordWrap w:val="0"/>
              <w:adjustRightInd w:val="0"/>
              <w:snapToGrid w:val="0"/>
              <w:rPr>
                <w:rFonts w:ascii="Times New Roman" w:hAnsi="Times New Roman" w:eastAsia="宋体" w:cs="Times New Roman"/>
                <w:b/>
                <w:bCs/>
                <w:kern w:val="0"/>
                <w:sz w:val="24"/>
                <w:lang w:bidi="ar"/>
              </w:rPr>
            </w:pPr>
          </w:p>
          <w:p>
            <w:pPr>
              <w:wordWrap w:val="0"/>
              <w:adjustRightInd w:val="0"/>
              <w:snapToGrid w:val="0"/>
              <w:rPr>
                <w:rFonts w:ascii="Times New Roman" w:hAnsi="Times New Roman" w:eastAsia="宋体" w:cs="Times New Roman"/>
                <w:b/>
                <w:bCs/>
                <w:kern w:val="0"/>
                <w:sz w:val="24"/>
                <w:lang w:bidi="ar"/>
              </w:rPr>
            </w:pPr>
          </w:p>
          <w:p>
            <w:pPr>
              <w:wordWrap w:val="0"/>
              <w:adjustRightInd w:val="0"/>
              <w:snapToGrid w:val="0"/>
              <w:rPr>
                <w:rFonts w:ascii="Times New Roman" w:hAnsi="Times New Roman" w:eastAsia="宋体" w:cs="Times New Roman"/>
                <w:b/>
                <w:bCs/>
                <w:kern w:val="0"/>
                <w:sz w:val="24"/>
                <w:lang w:bidi="ar"/>
              </w:rPr>
            </w:pPr>
            <w:r>
              <w:rPr>
                <w:rFonts w:ascii="Times New Roman" w:hAnsi="Times New Roman" w:eastAsia="宋体" w:cs="Times New Roman"/>
                <w:b/>
                <w:bCs/>
                <w:kern w:val="0"/>
                <w:sz w:val="24"/>
                <w:lang w:bidi="ar"/>
              </w:rPr>
              <w:t>要素</w:t>
            </w:r>
          </w:p>
          <w:p>
            <w:pPr>
              <w:wordWrap w:val="0"/>
              <w:adjustRightInd w:val="0"/>
              <w:snapToGrid w:val="0"/>
              <w:rPr>
                <w:rFonts w:ascii="Times New Roman" w:hAnsi="Times New Roman" w:eastAsia="宋体" w:cs="Times New Roman"/>
                <w:b/>
                <w:bCs/>
                <w:kern w:val="0"/>
                <w:sz w:val="24"/>
                <w:lang w:bidi="ar"/>
              </w:rPr>
            </w:pPr>
            <w:r>
              <w:rPr>
                <w:rFonts w:ascii="Times New Roman" w:hAnsi="Times New Roman" w:eastAsia="宋体" w:cs="Times New Roman"/>
                <w:b/>
                <w:bCs/>
                <w:kern w:val="0"/>
                <w:sz w:val="24"/>
                <w:lang w:bidi="ar"/>
              </w:rPr>
              <w:t>内容</w:t>
            </w:r>
          </w:p>
        </w:tc>
        <w:tc>
          <w:tcPr>
            <w:tcW w:w="1648" w:type="dxa"/>
            <w:gridSpan w:val="2"/>
            <w:vAlign w:val="center"/>
          </w:tcPr>
          <w:p>
            <w:pPr>
              <w:adjustRightInd w:val="0"/>
              <w:snapToGrid w:val="0"/>
              <w:jc w:val="center"/>
              <w:rPr>
                <w:rFonts w:ascii="Times New Roman" w:hAnsi="Times New Roman" w:eastAsia="宋体" w:cs="Times New Roman"/>
                <w:b/>
                <w:bCs/>
                <w:kern w:val="0"/>
                <w:sz w:val="24"/>
                <w:lang w:bidi="ar"/>
              </w:rPr>
            </w:pPr>
            <w:r>
              <w:rPr>
                <w:rFonts w:ascii="Times New Roman" w:hAnsi="Times New Roman" w:eastAsia="宋体" w:cs="Times New Roman"/>
                <w:b/>
                <w:bCs/>
                <w:kern w:val="0"/>
                <w:sz w:val="24"/>
                <w:lang w:bidi="ar"/>
              </w:rPr>
              <w:t>排放口（编号、名称）/污染源</w:t>
            </w:r>
          </w:p>
        </w:tc>
        <w:tc>
          <w:tcPr>
            <w:tcW w:w="1036" w:type="dxa"/>
            <w:vAlign w:val="center"/>
          </w:tcPr>
          <w:p>
            <w:pPr>
              <w:adjustRightInd w:val="0"/>
              <w:snapToGrid w:val="0"/>
              <w:jc w:val="center"/>
              <w:rPr>
                <w:rFonts w:ascii="Times New Roman" w:hAnsi="Times New Roman" w:eastAsia="宋体" w:cs="Times New Roman"/>
                <w:b/>
                <w:bCs/>
                <w:kern w:val="0"/>
                <w:sz w:val="24"/>
                <w:lang w:bidi="ar"/>
              </w:rPr>
            </w:pPr>
            <w:r>
              <w:rPr>
                <w:rFonts w:ascii="Times New Roman" w:hAnsi="Times New Roman" w:eastAsia="宋体" w:cs="Times New Roman"/>
                <w:b/>
                <w:bCs/>
                <w:kern w:val="0"/>
                <w:sz w:val="24"/>
                <w:lang w:bidi="ar"/>
              </w:rPr>
              <w:t>污染物项目</w:t>
            </w:r>
          </w:p>
        </w:tc>
        <w:tc>
          <w:tcPr>
            <w:tcW w:w="1758" w:type="dxa"/>
            <w:vAlign w:val="center"/>
          </w:tcPr>
          <w:p>
            <w:pPr>
              <w:adjustRightInd w:val="0"/>
              <w:snapToGrid w:val="0"/>
              <w:jc w:val="center"/>
              <w:rPr>
                <w:rFonts w:ascii="Times New Roman" w:hAnsi="Times New Roman" w:eastAsia="宋体" w:cs="Times New Roman"/>
                <w:b/>
                <w:bCs/>
                <w:kern w:val="0"/>
                <w:sz w:val="24"/>
                <w:lang w:bidi="ar"/>
              </w:rPr>
            </w:pPr>
            <w:r>
              <w:rPr>
                <w:rFonts w:ascii="Times New Roman" w:hAnsi="Times New Roman" w:eastAsia="宋体" w:cs="Times New Roman"/>
                <w:b/>
                <w:bCs/>
                <w:kern w:val="0"/>
                <w:sz w:val="24"/>
                <w:lang w:bidi="ar"/>
              </w:rPr>
              <w:t>环境保护措施</w:t>
            </w:r>
          </w:p>
        </w:tc>
        <w:tc>
          <w:tcPr>
            <w:tcW w:w="2812" w:type="dxa"/>
            <w:vAlign w:val="center"/>
          </w:tcPr>
          <w:p>
            <w:pPr>
              <w:adjustRightInd w:val="0"/>
              <w:snapToGrid w:val="0"/>
              <w:jc w:val="center"/>
              <w:rPr>
                <w:rFonts w:ascii="Times New Roman" w:hAnsi="Times New Roman" w:eastAsia="宋体" w:cs="Times New Roman"/>
                <w:b/>
                <w:bCs/>
                <w:kern w:val="0"/>
                <w:sz w:val="24"/>
                <w:lang w:bidi="ar"/>
              </w:rPr>
            </w:pPr>
            <w:r>
              <w:rPr>
                <w:rFonts w:ascii="Times New Roman" w:hAnsi="Times New Roman" w:eastAsia="宋体" w:cs="Times New Roman"/>
                <w:b/>
                <w:bCs/>
                <w:kern w:val="0"/>
                <w:sz w:val="24"/>
                <w:lang w:bidi="ar"/>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43" w:type="dxa"/>
            <w:vAlign w:val="center"/>
          </w:tcPr>
          <w:p>
            <w:pPr>
              <w:adjustRightInd w:val="0"/>
              <w:snapToGrid w:val="0"/>
              <w:jc w:val="center"/>
              <w:rPr>
                <w:rFonts w:ascii="Times New Roman" w:hAnsi="Times New Roman" w:eastAsia="宋体" w:cs="Times New Roman"/>
                <w:kern w:val="0"/>
                <w:sz w:val="24"/>
                <w:lang w:bidi="ar"/>
              </w:rPr>
            </w:pPr>
            <w:r>
              <w:rPr>
                <w:rFonts w:ascii="Times New Roman" w:hAnsi="Times New Roman" w:eastAsia="宋体" w:cs="Times New Roman"/>
                <w:kern w:val="0"/>
                <w:sz w:val="24"/>
                <w:lang w:bidi="ar"/>
              </w:rPr>
              <w:t>大气环境</w:t>
            </w:r>
          </w:p>
        </w:tc>
        <w:tc>
          <w:tcPr>
            <w:tcW w:w="640" w:type="dxa"/>
            <w:vAlign w:val="center"/>
          </w:tcPr>
          <w:p>
            <w:pPr>
              <w:adjustRightInd w:val="0"/>
              <w:snapToGrid w:val="0"/>
              <w:jc w:val="center"/>
              <w:rPr>
                <w:rFonts w:ascii="Times New Roman" w:hAnsi="Times New Roman" w:eastAsia="宋体" w:cs="Times New Roman"/>
                <w:kern w:val="0"/>
                <w:sz w:val="24"/>
                <w:lang w:bidi="ar"/>
              </w:rPr>
            </w:pPr>
            <w:r>
              <w:rPr>
                <w:rFonts w:hint="eastAsia" w:ascii="Times New Roman" w:hAnsi="Times New Roman" w:eastAsia="宋体" w:cs="Times New Roman"/>
                <w:kern w:val="0"/>
                <w:sz w:val="24"/>
                <w:lang w:bidi="ar"/>
              </w:rPr>
              <w:t>无</w:t>
            </w:r>
            <w:r>
              <w:rPr>
                <w:rFonts w:ascii="Times New Roman" w:hAnsi="Times New Roman" w:eastAsia="宋体" w:cs="Times New Roman"/>
                <w:kern w:val="0"/>
                <w:sz w:val="24"/>
                <w:lang w:bidi="ar"/>
              </w:rPr>
              <w:t>组织</w:t>
            </w:r>
          </w:p>
        </w:tc>
        <w:tc>
          <w:tcPr>
            <w:tcW w:w="1008" w:type="dxa"/>
            <w:vAlign w:val="center"/>
          </w:tcPr>
          <w:p>
            <w:pPr>
              <w:adjustRightInd w:val="0"/>
              <w:snapToGrid w:val="0"/>
              <w:jc w:val="center"/>
              <w:rPr>
                <w:rFonts w:ascii="Times New Roman" w:hAnsi="Times New Roman" w:eastAsia="宋体" w:cs="Times New Roman"/>
                <w:kern w:val="0"/>
                <w:sz w:val="24"/>
                <w:lang w:bidi="ar"/>
              </w:rPr>
            </w:pPr>
            <w:r>
              <w:rPr>
                <w:rFonts w:ascii="Times New Roman" w:hAnsi="Times New Roman" w:eastAsia="宋体" w:cs="Times New Roman"/>
                <w:kern w:val="0"/>
                <w:sz w:val="24"/>
                <w:lang w:bidi="ar"/>
              </w:rPr>
              <w:t>粉尘</w:t>
            </w:r>
          </w:p>
        </w:tc>
        <w:tc>
          <w:tcPr>
            <w:tcW w:w="1036" w:type="dxa"/>
            <w:vAlign w:val="center"/>
          </w:tcPr>
          <w:p>
            <w:pPr>
              <w:adjustRightInd w:val="0"/>
              <w:snapToGrid w:val="0"/>
              <w:jc w:val="center"/>
              <w:rPr>
                <w:rFonts w:ascii="Times New Roman" w:hAnsi="Times New Roman" w:eastAsia="宋体" w:cs="Times New Roman"/>
                <w:kern w:val="0"/>
                <w:sz w:val="24"/>
                <w:lang w:bidi="ar"/>
              </w:rPr>
            </w:pPr>
            <w:r>
              <w:rPr>
                <w:rFonts w:ascii="Times New Roman" w:hAnsi="Times New Roman" w:eastAsia="宋体" w:cs="Times New Roman"/>
                <w:sz w:val="24"/>
              </w:rPr>
              <w:t>TSP</w:t>
            </w:r>
          </w:p>
        </w:tc>
        <w:tc>
          <w:tcPr>
            <w:tcW w:w="1758" w:type="dxa"/>
            <w:vAlign w:val="center"/>
          </w:tcPr>
          <w:p>
            <w:pPr>
              <w:adjustRightInd w:val="0"/>
              <w:snapToGrid w:val="0"/>
              <w:jc w:val="center"/>
              <w:rPr>
                <w:rFonts w:ascii="Times New Roman" w:hAnsi="Times New Roman" w:eastAsia="宋体" w:cs="Times New Roman"/>
                <w:kern w:val="0"/>
                <w:sz w:val="24"/>
                <w:lang w:bidi="ar"/>
              </w:rPr>
            </w:pPr>
            <w:r>
              <w:rPr>
                <w:rFonts w:hint="eastAsia" w:ascii="Times New Roman" w:hAnsi="Times New Roman" w:eastAsia="宋体" w:cs="Times New Roman"/>
                <w:sz w:val="24"/>
              </w:rPr>
              <w:t>洒水降尘、</w:t>
            </w:r>
            <w:r>
              <w:rPr>
                <w:rFonts w:ascii="Times New Roman" w:hAnsi="Times New Roman" w:eastAsia="宋体" w:cs="Times New Roman"/>
                <w:sz w:val="24"/>
              </w:rPr>
              <w:t>厂房阻隔、绿化吸附、自然沉降</w:t>
            </w:r>
          </w:p>
        </w:tc>
        <w:tc>
          <w:tcPr>
            <w:tcW w:w="2812" w:type="dxa"/>
            <w:vAlign w:val="center"/>
          </w:tcPr>
          <w:p>
            <w:pPr>
              <w:adjustRightInd w:val="0"/>
              <w:snapToGrid w:val="0"/>
              <w:rPr>
                <w:rFonts w:ascii="Times New Roman" w:hAnsi="Times New Roman" w:eastAsia="宋体" w:cs="Times New Roman"/>
                <w:kern w:val="0"/>
                <w:sz w:val="24"/>
                <w:lang w:bidi="ar"/>
              </w:rPr>
            </w:pPr>
            <w:r>
              <w:rPr>
                <w:rFonts w:ascii="Times New Roman" w:hAnsi="Times New Roman" w:eastAsia="宋体" w:cs="Times New Roman"/>
                <w:kern w:val="0"/>
                <w:sz w:val="24"/>
                <w:lang w:bidi="ar"/>
              </w:rPr>
              <w:t>执行《大气污染物综合排放标准》（GB16297-1996）表2新污染源大气污染物排放限值中的</w:t>
            </w:r>
            <w:r>
              <w:rPr>
                <w:rFonts w:hint="eastAsia" w:ascii="Times New Roman" w:hAnsi="Times New Roman" w:eastAsia="宋体" w:cs="Times New Roman"/>
                <w:kern w:val="0"/>
                <w:sz w:val="24"/>
                <w:lang w:bidi="ar"/>
              </w:rPr>
              <w:t>无组织排放监控浓度</w:t>
            </w:r>
            <w:r>
              <w:rPr>
                <w:rFonts w:ascii="Times New Roman" w:hAnsi="Times New Roman" w:eastAsia="宋体" w:cs="Times New Roman"/>
                <w:kern w:val="0"/>
                <w:sz w:val="24"/>
                <w:lang w:bidi="ar"/>
              </w:rPr>
              <w:t>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43" w:type="dxa"/>
            <w:vMerge w:val="restart"/>
            <w:vAlign w:val="center"/>
          </w:tcPr>
          <w:p>
            <w:pPr>
              <w:adjustRightInd w:val="0"/>
              <w:snapToGrid w:val="0"/>
              <w:jc w:val="center"/>
              <w:rPr>
                <w:rFonts w:ascii="Times New Roman" w:hAnsi="Times New Roman" w:eastAsia="宋体" w:cs="Times New Roman"/>
                <w:kern w:val="0"/>
                <w:sz w:val="24"/>
                <w:lang w:bidi="ar"/>
              </w:rPr>
            </w:pPr>
            <w:r>
              <w:rPr>
                <w:rFonts w:ascii="Times New Roman" w:hAnsi="Times New Roman" w:eastAsia="宋体" w:cs="Times New Roman"/>
                <w:kern w:val="0"/>
                <w:sz w:val="24"/>
                <w:lang w:bidi="ar"/>
              </w:rPr>
              <w:t>地表水环境</w:t>
            </w:r>
          </w:p>
        </w:tc>
        <w:tc>
          <w:tcPr>
            <w:tcW w:w="1648" w:type="dxa"/>
            <w:gridSpan w:val="2"/>
            <w:vAlign w:val="center"/>
          </w:tcPr>
          <w:p>
            <w:pPr>
              <w:adjustRightInd w:val="0"/>
              <w:snapToGrid w:val="0"/>
              <w:jc w:val="center"/>
              <w:rPr>
                <w:rFonts w:ascii="Times New Roman" w:hAnsi="Times New Roman" w:eastAsia="宋体" w:cs="Times New Roman"/>
                <w:kern w:val="0"/>
                <w:sz w:val="24"/>
                <w:lang w:bidi="ar"/>
              </w:rPr>
            </w:pPr>
            <w:r>
              <w:rPr>
                <w:rFonts w:ascii="Times New Roman" w:hAnsi="Times New Roman" w:eastAsia="宋体" w:cs="Times New Roman"/>
                <w:sz w:val="24"/>
              </w:rPr>
              <w:t>办公生活污水</w:t>
            </w:r>
          </w:p>
        </w:tc>
        <w:tc>
          <w:tcPr>
            <w:tcW w:w="1036" w:type="dxa"/>
            <w:vAlign w:val="center"/>
          </w:tcPr>
          <w:p>
            <w:pPr>
              <w:adjustRightInd w:val="0"/>
              <w:snapToGrid w:val="0"/>
              <w:rPr>
                <w:rFonts w:ascii="Times New Roman" w:hAnsi="Times New Roman" w:eastAsia="宋体" w:cs="Times New Roman"/>
                <w:sz w:val="24"/>
                <w:lang w:bidi="zh-CN"/>
              </w:rPr>
            </w:pPr>
            <w:r>
              <w:rPr>
                <w:rFonts w:ascii="Times New Roman" w:hAnsi="Times New Roman" w:eastAsia="宋体" w:cs="Times New Roman"/>
                <w:sz w:val="24"/>
                <w:lang w:val="zh-CN" w:bidi="zh-CN"/>
              </w:rPr>
              <w:t>COD</w:t>
            </w:r>
            <w:r>
              <w:rPr>
                <w:rFonts w:ascii="Times New Roman" w:hAnsi="Times New Roman" w:eastAsia="宋体" w:cs="Times New Roman"/>
                <w:sz w:val="24"/>
                <w:lang w:bidi="zh-CN"/>
              </w:rPr>
              <w:t>cr</w:t>
            </w:r>
            <w:r>
              <w:rPr>
                <w:rFonts w:ascii="Times New Roman" w:hAnsi="Times New Roman" w:eastAsia="宋体" w:cs="Times New Roman"/>
                <w:sz w:val="24"/>
                <w:lang w:val="zh-CN" w:bidi="zh-CN"/>
              </w:rPr>
              <w:t>、BOD</w:t>
            </w:r>
            <w:r>
              <w:rPr>
                <w:rFonts w:ascii="Times New Roman" w:hAnsi="Times New Roman" w:eastAsia="宋体" w:cs="Times New Roman"/>
                <w:sz w:val="24"/>
                <w:vertAlign w:val="subscript"/>
                <w:lang w:val="zh-CN" w:bidi="zh-CN"/>
              </w:rPr>
              <w:t>5</w:t>
            </w:r>
            <w:r>
              <w:rPr>
                <w:rFonts w:ascii="Times New Roman" w:hAnsi="Times New Roman" w:eastAsia="宋体" w:cs="Times New Roman"/>
                <w:sz w:val="24"/>
                <w:lang w:val="zh-CN" w:bidi="zh-CN"/>
              </w:rPr>
              <w:t>、NH</w:t>
            </w:r>
            <w:r>
              <w:rPr>
                <w:rFonts w:ascii="Times New Roman" w:hAnsi="Times New Roman" w:eastAsia="宋体" w:cs="Times New Roman"/>
                <w:sz w:val="24"/>
                <w:vertAlign w:val="subscript"/>
                <w:lang w:val="zh-CN" w:bidi="zh-CN"/>
              </w:rPr>
              <w:t>3</w:t>
            </w:r>
            <w:r>
              <w:rPr>
                <w:rFonts w:ascii="Times New Roman" w:hAnsi="Times New Roman" w:eastAsia="宋体" w:cs="Times New Roman"/>
                <w:sz w:val="24"/>
                <w:lang w:val="zh-CN" w:bidi="zh-CN"/>
              </w:rPr>
              <w:t>-N、SS、大肠杆菌</w:t>
            </w:r>
          </w:p>
        </w:tc>
        <w:tc>
          <w:tcPr>
            <w:tcW w:w="1758" w:type="dxa"/>
            <w:vAlign w:val="center"/>
          </w:tcPr>
          <w:p>
            <w:pPr>
              <w:adjustRightInd w:val="0"/>
              <w:snapToGrid w:val="0"/>
              <w:rPr>
                <w:rFonts w:ascii="Times New Roman" w:hAnsi="Times New Roman" w:eastAsia="宋体" w:cs="Times New Roman"/>
                <w:kern w:val="0"/>
                <w:sz w:val="24"/>
                <w:lang w:bidi="ar"/>
              </w:rPr>
            </w:pPr>
            <w:r>
              <w:rPr>
                <w:rFonts w:hint="eastAsia" w:ascii="Times New Roman" w:hAnsi="Times New Roman" w:eastAsia="宋体" w:cs="Times New Roman"/>
                <w:spacing w:val="5"/>
                <w:sz w:val="24"/>
              </w:rPr>
              <w:t>三级化粪池</w:t>
            </w:r>
            <w:r>
              <w:rPr>
                <w:rFonts w:ascii="Times New Roman" w:hAnsi="Times New Roman" w:eastAsia="Times New Roman" w:cs="Times New Roman"/>
                <w:spacing w:val="5"/>
                <w:sz w:val="24"/>
              </w:rPr>
              <w:t>1</w:t>
            </w:r>
            <w:r>
              <w:rPr>
                <w:spacing w:val="5"/>
                <w:sz w:val="24"/>
              </w:rPr>
              <w:t>座，容积</w:t>
            </w:r>
            <w:r>
              <w:rPr>
                <w:rFonts w:hint="eastAsia"/>
                <w:spacing w:val="5"/>
                <w:sz w:val="24"/>
              </w:rPr>
              <w:t>10</w:t>
            </w:r>
            <w:r>
              <w:rPr>
                <w:rFonts w:ascii="Times New Roman" w:hAnsi="Times New Roman" w:eastAsia="Times New Roman" w:cs="Times New Roman"/>
                <w:spacing w:val="5"/>
                <w:sz w:val="24"/>
              </w:rPr>
              <w:t>m</w:t>
            </w:r>
            <w:r>
              <w:rPr>
                <w:rFonts w:hint="eastAsia" w:ascii="Times New Roman" w:hAnsi="Times New Roman" w:eastAsia="宋体" w:cs="Times New Roman"/>
                <w:spacing w:val="5"/>
                <w:sz w:val="24"/>
                <w:vertAlign w:val="superscript"/>
              </w:rPr>
              <w:t>3</w:t>
            </w:r>
            <w:r>
              <w:rPr>
                <w:spacing w:val="5"/>
                <w:sz w:val="24"/>
              </w:rPr>
              <w:t>，用于处理</w:t>
            </w:r>
            <w:r>
              <w:rPr>
                <w:rFonts w:hint="eastAsia"/>
                <w:spacing w:val="5"/>
                <w:sz w:val="24"/>
              </w:rPr>
              <w:t>生活污</w:t>
            </w:r>
            <w:r>
              <w:rPr>
                <w:spacing w:val="5"/>
                <w:sz w:val="24"/>
              </w:rPr>
              <w:t>水。</w:t>
            </w:r>
          </w:p>
        </w:tc>
        <w:tc>
          <w:tcPr>
            <w:tcW w:w="2812" w:type="dxa"/>
            <w:vAlign w:val="center"/>
          </w:tcPr>
          <w:p>
            <w:pPr>
              <w:adjustRightInd w:val="0"/>
              <w:snapToGrid w:val="0"/>
              <w:jc w:val="center"/>
              <w:rPr>
                <w:rFonts w:ascii="Times New Roman" w:hAnsi="Times New Roman" w:eastAsia="宋体" w:cs="Times New Roman"/>
                <w:kern w:val="0"/>
                <w:sz w:val="24"/>
                <w:lang w:bidi="ar"/>
              </w:rPr>
            </w:pPr>
            <w:r>
              <w:rPr>
                <w:iCs/>
                <w:snapToGrid w:val="0"/>
                <w:kern w:val="0"/>
                <w:sz w:val="24"/>
              </w:rPr>
              <w:t>生活污水</w:t>
            </w:r>
            <w:r>
              <w:rPr>
                <w:rFonts w:hint="eastAsia"/>
                <w:iCs/>
                <w:snapToGrid w:val="0"/>
                <w:kern w:val="0"/>
                <w:sz w:val="24"/>
              </w:rPr>
              <w:t>经</w:t>
            </w:r>
            <w:r>
              <w:rPr>
                <w:iCs/>
                <w:snapToGrid w:val="0"/>
                <w:kern w:val="0"/>
                <w:sz w:val="24"/>
              </w:rPr>
              <w:t>化粪池处理后，</w:t>
            </w:r>
            <w:r>
              <w:rPr>
                <w:rFonts w:hint="eastAsia"/>
                <w:iCs/>
                <w:snapToGrid w:val="0"/>
                <w:kern w:val="0"/>
                <w:sz w:val="24"/>
              </w:rPr>
              <w:t>委托当地居民清掏用作农肥使用</w:t>
            </w:r>
            <w:r>
              <w:rPr>
                <w:iCs/>
                <w:snapToGrid w:val="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43" w:type="dxa"/>
            <w:vMerge w:val="continue"/>
            <w:vAlign w:val="center"/>
          </w:tcPr>
          <w:p>
            <w:pPr>
              <w:adjustRightInd w:val="0"/>
              <w:snapToGrid w:val="0"/>
              <w:jc w:val="center"/>
              <w:rPr>
                <w:rFonts w:ascii="Times New Roman" w:hAnsi="Times New Roman" w:eastAsia="宋体" w:cs="Times New Roman"/>
                <w:kern w:val="0"/>
                <w:sz w:val="24"/>
                <w:lang w:bidi="ar"/>
              </w:rPr>
            </w:pPr>
          </w:p>
        </w:tc>
        <w:tc>
          <w:tcPr>
            <w:tcW w:w="1648" w:type="dxa"/>
            <w:gridSpan w:val="2"/>
            <w:vAlign w:val="center"/>
          </w:tcPr>
          <w:p>
            <w:pPr>
              <w:pStyle w:val="76"/>
              <w:widowControl w:val="0"/>
              <w:jc w:val="center"/>
              <w:rPr>
                <w:rFonts w:ascii="Times New Roman" w:hAnsi="Times New Roman"/>
                <w:sz w:val="24"/>
                <w:szCs w:val="24"/>
              </w:rPr>
            </w:pPr>
            <w:r>
              <w:rPr>
                <w:rFonts w:hint="eastAsia" w:ascii="Times New Roman" w:hAnsi="Times New Roman"/>
                <w:sz w:val="24"/>
                <w:szCs w:val="24"/>
              </w:rPr>
              <w:t>生产废水</w:t>
            </w:r>
          </w:p>
        </w:tc>
        <w:tc>
          <w:tcPr>
            <w:tcW w:w="1036" w:type="dxa"/>
            <w:vAlign w:val="center"/>
          </w:tcPr>
          <w:p>
            <w:pPr>
              <w:adjustRightInd w:val="0"/>
              <w:snapToGrid w:val="0"/>
              <w:jc w:val="center"/>
              <w:rPr>
                <w:rFonts w:ascii="Times New Roman" w:hAnsi="Times New Roman" w:eastAsia="宋体" w:cs="Times New Roman"/>
                <w:sz w:val="24"/>
                <w:lang w:bidi="zh-CN"/>
              </w:rPr>
            </w:pPr>
            <w:r>
              <w:rPr>
                <w:rFonts w:hint="eastAsia" w:ascii="Times New Roman" w:hAnsi="Times New Roman" w:eastAsia="宋体" w:cs="Times New Roman"/>
                <w:sz w:val="24"/>
                <w:lang w:bidi="zh-CN"/>
              </w:rPr>
              <w:t>SS</w:t>
            </w:r>
          </w:p>
        </w:tc>
        <w:tc>
          <w:tcPr>
            <w:tcW w:w="1758" w:type="dxa"/>
            <w:vAlign w:val="center"/>
          </w:tcPr>
          <w:p>
            <w:pPr>
              <w:pStyle w:val="76"/>
              <w:widowControl w:val="0"/>
              <w:jc w:val="center"/>
              <w:rPr>
                <w:rFonts w:ascii="Times New Roman" w:hAnsi="Times New Roman"/>
                <w:spacing w:val="5"/>
                <w:sz w:val="24"/>
                <w:szCs w:val="24"/>
              </w:rPr>
            </w:pPr>
            <w:r>
              <w:rPr>
                <w:rFonts w:hint="eastAsia" w:ascii="Times New Roman" w:hAnsi="Times New Roman"/>
                <w:sz w:val="24"/>
                <w:szCs w:val="24"/>
              </w:rPr>
              <w:t>三级沉淀池，</w:t>
            </w:r>
            <w:r>
              <w:rPr>
                <w:rFonts w:hint="eastAsia"/>
                <w:spacing w:val="7"/>
                <w:sz w:val="24"/>
                <w:szCs w:val="24"/>
              </w:rPr>
              <w:t>1</w:t>
            </w:r>
            <w:r>
              <w:rPr>
                <w:spacing w:val="7"/>
                <w:sz w:val="24"/>
                <w:szCs w:val="24"/>
              </w:rPr>
              <w:t>个，容积</w:t>
            </w:r>
            <w:r>
              <w:rPr>
                <w:rFonts w:hint="eastAsia" w:ascii="Times New Roman" w:hAnsi="Times New Roman"/>
                <w:spacing w:val="7"/>
                <w:sz w:val="24"/>
                <w:szCs w:val="24"/>
              </w:rPr>
              <w:t>1500</w:t>
            </w:r>
            <w:r>
              <w:rPr>
                <w:rFonts w:ascii="Times New Roman" w:hAnsi="Times New Roman" w:eastAsia="Times New Roman"/>
                <w:spacing w:val="7"/>
                <w:sz w:val="24"/>
                <w:szCs w:val="24"/>
              </w:rPr>
              <w:t>m</w:t>
            </w:r>
            <w:r>
              <w:rPr>
                <w:rFonts w:hint="eastAsia" w:ascii="Times New Roman" w:hAnsi="Times New Roman"/>
                <w:spacing w:val="7"/>
                <w:sz w:val="24"/>
                <w:szCs w:val="24"/>
                <w:vertAlign w:val="superscript"/>
              </w:rPr>
              <w:t>3</w:t>
            </w:r>
            <w:r>
              <w:rPr>
                <w:rFonts w:ascii="Times New Roman" w:hAnsi="Times New Roman" w:eastAsia="Times New Roman"/>
                <w:spacing w:val="7"/>
                <w:sz w:val="24"/>
                <w:szCs w:val="24"/>
              </w:rPr>
              <w:t>/</w:t>
            </w:r>
            <w:r>
              <w:rPr>
                <w:spacing w:val="7"/>
                <w:sz w:val="24"/>
                <w:szCs w:val="24"/>
              </w:rPr>
              <w:t>个，用于处理生</w:t>
            </w:r>
            <w:r>
              <w:rPr>
                <w:spacing w:val="6"/>
                <w:sz w:val="24"/>
                <w:szCs w:val="24"/>
              </w:rPr>
              <w:t>产废水。</w:t>
            </w:r>
          </w:p>
        </w:tc>
        <w:tc>
          <w:tcPr>
            <w:tcW w:w="2812" w:type="dxa"/>
            <w:vMerge w:val="restart"/>
            <w:vAlign w:val="center"/>
          </w:tcPr>
          <w:p>
            <w:pPr>
              <w:adjustRightInd w:val="0"/>
              <w:snapToGrid w:val="0"/>
              <w:jc w:val="center"/>
              <w:rPr>
                <w:iCs/>
                <w:snapToGrid w:val="0"/>
                <w:kern w:val="0"/>
                <w:sz w:val="24"/>
              </w:rPr>
            </w:pPr>
            <w:r>
              <w:rPr>
                <w:rFonts w:hint="eastAsia" w:ascii="Times New Roman" w:hAnsi="Times New Roman" w:eastAsia="宋体" w:cs="Times New Roman"/>
                <w:bCs/>
                <w:sz w:val="24"/>
              </w:rPr>
              <w:t>回用于生产，不外排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43" w:type="dxa"/>
            <w:vMerge w:val="continue"/>
            <w:vAlign w:val="center"/>
          </w:tcPr>
          <w:p>
            <w:pPr>
              <w:adjustRightInd w:val="0"/>
              <w:snapToGrid w:val="0"/>
              <w:jc w:val="center"/>
              <w:rPr>
                <w:rFonts w:ascii="Times New Roman" w:hAnsi="Times New Roman" w:eastAsia="宋体" w:cs="Times New Roman"/>
                <w:kern w:val="0"/>
                <w:sz w:val="24"/>
                <w:lang w:bidi="ar"/>
              </w:rPr>
            </w:pPr>
          </w:p>
        </w:tc>
        <w:tc>
          <w:tcPr>
            <w:tcW w:w="1648" w:type="dxa"/>
            <w:gridSpan w:val="2"/>
            <w:vAlign w:val="center"/>
          </w:tcPr>
          <w:p>
            <w:pPr>
              <w:pStyle w:val="76"/>
              <w:widowControl w:val="0"/>
              <w:jc w:val="center"/>
              <w:rPr>
                <w:rFonts w:ascii="Times New Roman" w:hAnsi="Times New Roman"/>
                <w:sz w:val="24"/>
                <w:szCs w:val="24"/>
              </w:rPr>
            </w:pPr>
            <w:r>
              <w:rPr>
                <w:rFonts w:hint="eastAsia" w:ascii="Times New Roman" w:hAnsi="Times New Roman"/>
                <w:sz w:val="24"/>
                <w:szCs w:val="24"/>
              </w:rPr>
              <w:t>初期雨水</w:t>
            </w:r>
          </w:p>
        </w:tc>
        <w:tc>
          <w:tcPr>
            <w:tcW w:w="1036" w:type="dxa"/>
            <w:vAlign w:val="center"/>
          </w:tcPr>
          <w:p>
            <w:pPr>
              <w:adjustRightInd w:val="0"/>
              <w:snapToGrid w:val="0"/>
              <w:jc w:val="center"/>
              <w:rPr>
                <w:rFonts w:ascii="Times New Roman" w:hAnsi="Times New Roman" w:eastAsia="宋体" w:cs="Times New Roman"/>
                <w:sz w:val="24"/>
                <w:lang w:bidi="zh-CN"/>
              </w:rPr>
            </w:pPr>
            <w:r>
              <w:rPr>
                <w:rFonts w:hint="eastAsia" w:ascii="Times New Roman" w:hAnsi="Times New Roman" w:eastAsia="宋体" w:cs="Times New Roman"/>
                <w:sz w:val="24"/>
                <w:lang w:bidi="zh-CN"/>
              </w:rPr>
              <w:t>SS</w:t>
            </w:r>
          </w:p>
        </w:tc>
        <w:tc>
          <w:tcPr>
            <w:tcW w:w="1758" w:type="dxa"/>
            <w:vAlign w:val="center"/>
          </w:tcPr>
          <w:p>
            <w:pPr>
              <w:pStyle w:val="76"/>
              <w:widowControl w:val="0"/>
              <w:jc w:val="center"/>
              <w:rPr>
                <w:rFonts w:ascii="Times New Roman" w:hAnsi="Times New Roman"/>
                <w:spacing w:val="5"/>
                <w:sz w:val="24"/>
                <w:szCs w:val="24"/>
              </w:rPr>
            </w:pPr>
            <w:r>
              <w:rPr>
                <w:rFonts w:hint="eastAsia" w:ascii="Times New Roman" w:hAnsi="Times New Roman"/>
                <w:sz w:val="24"/>
                <w:szCs w:val="24"/>
              </w:rPr>
              <w:t>初期雨水收集池，</w:t>
            </w:r>
            <w:r>
              <w:rPr>
                <w:rFonts w:ascii="Times New Roman" w:hAnsi="Times New Roman" w:eastAsia="Times New Roman"/>
                <w:spacing w:val="5"/>
                <w:sz w:val="24"/>
                <w:szCs w:val="24"/>
              </w:rPr>
              <w:t>1</w:t>
            </w:r>
            <w:r>
              <w:rPr>
                <w:spacing w:val="5"/>
                <w:sz w:val="24"/>
                <w:szCs w:val="24"/>
              </w:rPr>
              <w:t>座，容积</w:t>
            </w:r>
            <w:r>
              <w:rPr>
                <w:rFonts w:hint="eastAsia" w:ascii="Times New Roman" w:hAnsi="Times New Roman"/>
                <w:spacing w:val="5"/>
                <w:sz w:val="24"/>
                <w:szCs w:val="24"/>
              </w:rPr>
              <w:t>100m</w:t>
            </w:r>
            <w:r>
              <w:rPr>
                <w:rFonts w:hint="eastAsia" w:ascii="Times New Roman" w:hAnsi="Times New Roman"/>
                <w:spacing w:val="5"/>
                <w:sz w:val="24"/>
                <w:szCs w:val="24"/>
                <w:vertAlign w:val="superscript"/>
              </w:rPr>
              <w:t>3</w:t>
            </w:r>
            <w:r>
              <w:rPr>
                <w:spacing w:val="5"/>
                <w:sz w:val="24"/>
                <w:szCs w:val="24"/>
              </w:rPr>
              <w:t>，位于厂区</w:t>
            </w:r>
            <w:r>
              <w:rPr>
                <w:rFonts w:hint="eastAsia"/>
                <w:spacing w:val="5"/>
                <w:sz w:val="24"/>
                <w:szCs w:val="24"/>
              </w:rPr>
              <w:t>南</w:t>
            </w:r>
            <w:r>
              <w:rPr>
                <w:spacing w:val="5"/>
                <w:sz w:val="24"/>
                <w:szCs w:val="24"/>
              </w:rPr>
              <w:t>侧地势较低处，用</w:t>
            </w:r>
            <w:r>
              <w:rPr>
                <w:spacing w:val="8"/>
                <w:sz w:val="24"/>
                <w:szCs w:val="24"/>
              </w:rPr>
              <w:t>于收集初期雨水，沉淀后回用于生产。</w:t>
            </w:r>
          </w:p>
        </w:tc>
        <w:tc>
          <w:tcPr>
            <w:tcW w:w="2812" w:type="dxa"/>
            <w:vMerge w:val="continue"/>
            <w:vAlign w:val="center"/>
          </w:tcPr>
          <w:p>
            <w:pPr>
              <w:adjustRightInd w:val="0"/>
              <w:snapToGrid w:val="0"/>
              <w:jc w:val="center"/>
              <w:rPr>
                <w:iCs/>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43" w:type="dxa"/>
            <w:vMerge w:val="continue"/>
            <w:vAlign w:val="center"/>
          </w:tcPr>
          <w:p>
            <w:pPr>
              <w:adjustRightInd w:val="0"/>
              <w:snapToGrid w:val="0"/>
              <w:jc w:val="center"/>
              <w:rPr>
                <w:rFonts w:ascii="Times New Roman" w:hAnsi="Times New Roman" w:eastAsia="宋体" w:cs="Times New Roman"/>
                <w:kern w:val="0"/>
                <w:sz w:val="24"/>
                <w:lang w:bidi="ar"/>
              </w:rPr>
            </w:pPr>
          </w:p>
        </w:tc>
        <w:tc>
          <w:tcPr>
            <w:tcW w:w="1648" w:type="dxa"/>
            <w:gridSpan w:val="2"/>
            <w:vAlign w:val="center"/>
          </w:tcPr>
          <w:p>
            <w:pPr>
              <w:pStyle w:val="76"/>
              <w:widowControl w:val="0"/>
              <w:jc w:val="center"/>
              <w:rPr>
                <w:rFonts w:ascii="Times New Roman" w:hAnsi="Times New Roman"/>
                <w:sz w:val="24"/>
                <w:szCs w:val="24"/>
              </w:rPr>
            </w:pPr>
            <w:r>
              <w:rPr>
                <w:rFonts w:hint="eastAsia" w:ascii="Times New Roman" w:hAnsi="Times New Roman"/>
                <w:sz w:val="24"/>
                <w:szCs w:val="24"/>
              </w:rPr>
              <w:t>事故废水</w:t>
            </w:r>
          </w:p>
        </w:tc>
        <w:tc>
          <w:tcPr>
            <w:tcW w:w="1036" w:type="dxa"/>
            <w:vAlign w:val="center"/>
          </w:tcPr>
          <w:p>
            <w:pPr>
              <w:adjustRightInd w:val="0"/>
              <w:snapToGrid w:val="0"/>
              <w:jc w:val="center"/>
              <w:rPr>
                <w:rFonts w:ascii="Times New Roman" w:hAnsi="Times New Roman" w:eastAsia="宋体" w:cs="Times New Roman"/>
                <w:sz w:val="24"/>
                <w:lang w:bidi="zh-CN"/>
              </w:rPr>
            </w:pPr>
            <w:r>
              <w:rPr>
                <w:rFonts w:hint="eastAsia" w:ascii="Times New Roman" w:hAnsi="Times New Roman" w:eastAsia="宋体" w:cs="Times New Roman"/>
                <w:sz w:val="24"/>
                <w:lang w:bidi="zh-CN"/>
              </w:rPr>
              <w:t>SS</w:t>
            </w:r>
          </w:p>
        </w:tc>
        <w:tc>
          <w:tcPr>
            <w:tcW w:w="1758" w:type="dxa"/>
            <w:vAlign w:val="center"/>
          </w:tcPr>
          <w:p>
            <w:pPr>
              <w:pStyle w:val="76"/>
              <w:widowControl w:val="0"/>
              <w:jc w:val="center"/>
              <w:rPr>
                <w:rFonts w:ascii="Times New Roman" w:hAnsi="Times New Roman"/>
                <w:spacing w:val="5"/>
                <w:sz w:val="24"/>
                <w:szCs w:val="24"/>
              </w:rPr>
            </w:pPr>
            <w:r>
              <w:rPr>
                <w:rFonts w:hint="eastAsia" w:ascii="Times New Roman" w:hAnsi="Times New Roman"/>
                <w:sz w:val="24"/>
                <w:szCs w:val="24"/>
              </w:rPr>
              <w:t>事故应急池，</w:t>
            </w:r>
            <w:r>
              <w:rPr>
                <w:rFonts w:ascii="Times New Roman" w:hAnsi="Times New Roman" w:eastAsia="Times New Roman"/>
                <w:spacing w:val="4"/>
                <w:sz w:val="24"/>
                <w:szCs w:val="24"/>
              </w:rPr>
              <w:t>1</w:t>
            </w:r>
            <w:r>
              <w:rPr>
                <w:spacing w:val="4"/>
                <w:sz w:val="24"/>
                <w:szCs w:val="24"/>
              </w:rPr>
              <w:t>座，容积</w:t>
            </w:r>
            <w:r>
              <w:rPr>
                <w:rFonts w:hint="eastAsia"/>
                <w:spacing w:val="4"/>
                <w:sz w:val="24"/>
                <w:szCs w:val="24"/>
              </w:rPr>
              <w:t>250</w:t>
            </w:r>
            <w:r>
              <w:rPr>
                <w:rFonts w:ascii="Times New Roman" w:hAnsi="Times New Roman" w:eastAsia="Times New Roman"/>
                <w:spacing w:val="4"/>
                <w:sz w:val="24"/>
                <w:szCs w:val="24"/>
              </w:rPr>
              <w:t>m</w:t>
            </w:r>
            <w:r>
              <w:rPr>
                <w:rFonts w:hint="eastAsia" w:ascii="Times New Roman" w:hAnsi="Times New Roman"/>
                <w:spacing w:val="4"/>
                <w:sz w:val="24"/>
                <w:szCs w:val="24"/>
                <w:vertAlign w:val="superscript"/>
              </w:rPr>
              <w:t>3</w:t>
            </w:r>
            <w:r>
              <w:rPr>
                <w:spacing w:val="4"/>
                <w:sz w:val="24"/>
                <w:szCs w:val="24"/>
              </w:rPr>
              <w:t>，用于事故废水。</w:t>
            </w:r>
          </w:p>
        </w:tc>
        <w:tc>
          <w:tcPr>
            <w:tcW w:w="2812" w:type="dxa"/>
            <w:vMerge w:val="continue"/>
            <w:vAlign w:val="center"/>
          </w:tcPr>
          <w:p>
            <w:pPr>
              <w:adjustRightInd w:val="0"/>
              <w:snapToGrid w:val="0"/>
              <w:jc w:val="center"/>
              <w:rPr>
                <w:iCs/>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43" w:type="dxa"/>
            <w:vMerge w:val="continue"/>
            <w:vAlign w:val="center"/>
          </w:tcPr>
          <w:p>
            <w:pPr>
              <w:adjustRightInd w:val="0"/>
              <w:snapToGrid w:val="0"/>
              <w:jc w:val="center"/>
              <w:rPr>
                <w:rFonts w:ascii="Times New Roman" w:hAnsi="Times New Roman" w:eastAsia="宋体" w:cs="Times New Roman"/>
                <w:kern w:val="0"/>
                <w:sz w:val="24"/>
                <w:lang w:bidi="ar"/>
              </w:rPr>
            </w:pPr>
          </w:p>
        </w:tc>
        <w:tc>
          <w:tcPr>
            <w:tcW w:w="1648" w:type="dxa"/>
            <w:gridSpan w:val="2"/>
            <w:vAlign w:val="center"/>
          </w:tcPr>
          <w:p>
            <w:pPr>
              <w:pStyle w:val="76"/>
              <w:widowControl w:val="0"/>
              <w:jc w:val="center"/>
              <w:rPr>
                <w:rFonts w:ascii="Times New Roman" w:hAnsi="Times New Roman"/>
                <w:sz w:val="24"/>
                <w:szCs w:val="24"/>
              </w:rPr>
            </w:pPr>
            <w:r>
              <w:rPr>
                <w:rFonts w:hint="eastAsia" w:ascii="Times New Roman" w:hAnsi="Times New Roman"/>
                <w:sz w:val="24"/>
                <w:szCs w:val="24"/>
              </w:rPr>
              <w:t>成品堆放场渗滤液</w:t>
            </w:r>
          </w:p>
        </w:tc>
        <w:tc>
          <w:tcPr>
            <w:tcW w:w="1036" w:type="dxa"/>
            <w:vAlign w:val="center"/>
          </w:tcPr>
          <w:p>
            <w:pPr>
              <w:adjustRightInd w:val="0"/>
              <w:snapToGrid w:val="0"/>
              <w:jc w:val="center"/>
              <w:rPr>
                <w:rFonts w:ascii="Times New Roman" w:hAnsi="Times New Roman" w:eastAsia="宋体" w:cs="Times New Roman"/>
                <w:sz w:val="24"/>
                <w:lang w:bidi="zh-CN"/>
              </w:rPr>
            </w:pPr>
            <w:r>
              <w:rPr>
                <w:rFonts w:hint="eastAsia" w:ascii="Times New Roman" w:hAnsi="Times New Roman" w:eastAsia="宋体" w:cs="Times New Roman"/>
                <w:sz w:val="24"/>
                <w:lang w:bidi="zh-CN"/>
              </w:rPr>
              <w:t>SS</w:t>
            </w:r>
          </w:p>
        </w:tc>
        <w:tc>
          <w:tcPr>
            <w:tcW w:w="1758" w:type="dxa"/>
            <w:vAlign w:val="center"/>
          </w:tcPr>
          <w:p>
            <w:pPr>
              <w:pStyle w:val="76"/>
              <w:widowControl w:val="0"/>
              <w:jc w:val="center"/>
              <w:rPr>
                <w:rFonts w:ascii="Times New Roman" w:hAnsi="Times New Roman"/>
                <w:spacing w:val="5"/>
                <w:sz w:val="24"/>
                <w:szCs w:val="24"/>
              </w:rPr>
            </w:pPr>
            <w:r>
              <w:rPr>
                <w:rFonts w:hint="eastAsia" w:ascii="Times New Roman" w:hAnsi="Times New Roman"/>
                <w:sz w:val="24"/>
                <w:szCs w:val="24"/>
              </w:rPr>
              <w:t>成品堆放场渗滤液收集池，</w:t>
            </w:r>
            <w:r>
              <w:rPr>
                <w:rFonts w:ascii="Times New Roman" w:hAnsi="Times New Roman" w:eastAsia="Times New Roman"/>
                <w:spacing w:val="5"/>
                <w:sz w:val="24"/>
                <w:szCs w:val="24"/>
              </w:rPr>
              <w:t>1</w:t>
            </w:r>
            <w:r>
              <w:rPr>
                <w:spacing w:val="5"/>
                <w:sz w:val="24"/>
                <w:szCs w:val="24"/>
              </w:rPr>
              <w:t>座，容积约为</w:t>
            </w:r>
            <w:r>
              <w:rPr>
                <w:rFonts w:hint="eastAsia" w:ascii="Times New Roman" w:hAnsi="Times New Roman"/>
                <w:spacing w:val="5"/>
                <w:sz w:val="24"/>
                <w:szCs w:val="24"/>
              </w:rPr>
              <w:t>1</w:t>
            </w:r>
            <w:r>
              <w:rPr>
                <w:rFonts w:ascii="Times New Roman" w:hAnsi="Times New Roman" w:eastAsia="Times New Roman"/>
                <w:spacing w:val="5"/>
                <w:sz w:val="24"/>
                <w:szCs w:val="24"/>
              </w:rPr>
              <w:t>0m</w:t>
            </w:r>
            <w:r>
              <w:rPr>
                <w:rFonts w:hint="eastAsia" w:ascii="Times New Roman" w:hAnsi="Times New Roman"/>
                <w:spacing w:val="5"/>
                <w:sz w:val="24"/>
                <w:szCs w:val="24"/>
                <w:vertAlign w:val="superscript"/>
              </w:rPr>
              <w:t>3</w:t>
            </w:r>
            <w:r>
              <w:rPr>
                <w:spacing w:val="5"/>
                <w:sz w:val="24"/>
                <w:szCs w:val="24"/>
              </w:rPr>
              <w:t>，用于收集</w:t>
            </w:r>
            <w:r>
              <w:rPr>
                <w:rFonts w:hint="eastAsia" w:ascii="Times New Roman" w:hAnsi="Times New Roman"/>
                <w:sz w:val="24"/>
                <w:szCs w:val="24"/>
              </w:rPr>
              <w:t>成品堆放场产生的渗滤液</w:t>
            </w:r>
          </w:p>
        </w:tc>
        <w:tc>
          <w:tcPr>
            <w:tcW w:w="2812" w:type="dxa"/>
            <w:vMerge w:val="continue"/>
            <w:vAlign w:val="center"/>
          </w:tcPr>
          <w:p>
            <w:pPr>
              <w:adjustRightInd w:val="0"/>
              <w:snapToGrid w:val="0"/>
              <w:jc w:val="center"/>
              <w:rPr>
                <w:iCs/>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43" w:type="dxa"/>
            <w:vMerge w:val="continue"/>
            <w:vAlign w:val="center"/>
          </w:tcPr>
          <w:p>
            <w:pPr>
              <w:adjustRightInd w:val="0"/>
              <w:snapToGrid w:val="0"/>
              <w:jc w:val="center"/>
              <w:rPr>
                <w:rFonts w:ascii="Times New Roman" w:hAnsi="Times New Roman" w:eastAsia="宋体" w:cs="Times New Roman"/>
                <w:kern w:val="0"/>
                <w:sz w:val="24"/>
                <w:lang w:bidi="ar"/>
              </w:rPr>
            </w:pPr>
          </w:p>
        </w:tc>
        <w:tc>
          <w:tcPr>
            <w:tcW w:w="1648" w:type="dxa"/>
            <w:gridSpan w:val="2"/>
            <w:vAlign w:val="center"/>
          </w:tcPr>
          <w:p>
            <w:pPr>
              <w:pStyle w:val="76"/>
              <w:widowControl w:val="0"/>
              <w:jc w:val="center"/>
              <w:rPr>
                <w:rFonts w:ascii="Times New Roman" w:hAnsi="Times New Roman"/>
                <w:sz w:val="24"/>
                <w:szCs w:val="24"/>
              </w:rPr>
            </w:pPr>
            <w:r>
              <w:rPr>
                <w:rFonts w:hint="eastAsia" w:ascii="Times New Roman" w:hAnsi="Times New Roman"/>
                <w:sz w:val="24"/>
                <w:szCs w:val="24"/>
              </w:rPr>
              <w:t>污泥堆场渗滤液</w:t>
            </w:r>
          </w:p>
        </w:tc>
        <w:tc>
          <w:tcPr>
            <w:tcW w:w="1036" w:type="dxa"/>
            <w:vAlign w:val="center"/>
          </w:tcPr>
          <w:p>
            <w:pPr>
              <w:adjustRightInd w:val="0"/>
              <w:snapToGrid w:val="0"/>
              <w:jc w:val="center"/>
              <w:rPr>
                <w:rFonts w:ascii="Times New Roman" w:hAnsi="Times New Roman" w:eastAsia="宋体" w:cs="Times New Roman"/>
                <w:sz w:val="24"/>
                <w:lang w:bidi="zh-CN"/>
              </w:rPr>
            </w:pPr>
            <w:r>
              <w:rPr>
                <w:rFonts w:hint="eastAsia" w:ascii="Times New Roman" w:hAnsi="Times New Roman" w:eastAsia="宋体" w:cs="Times New Roman"/>
                <w:sz w:val="24"/>
                <w:lang w:bidi="zh-CN"/>
              </w:rPr>
              <w:t>SS</w:t>
            </w:r>
          </w:p>
        </w:tc>
        <w:tc>
          <w:tcPr>
            <w:tcW w:w="1758" w:type="dxa"/>
            <w:vAlign w:val="center"/>
          </w:tcPr>
          <w:p>
            <w:pPr>
              <w:pStyle w:val="76"/>
              <w:widowControl w:val="0"/>
              <w:jc w:val="center"/>
              <w:rPr>
                <w:rFonts w:ascii="Times New Roman" w:hAnsi="Times New Roman"/>
                <w:spacing w:val="5"/>
                <w:sz w:val="24"/>
                <w:szCs w:val="24"/>
              </w:rPr>
            </w:pPr>
            <w:r>
              <w:rPr>
                <w:rFonts w:hint="eastAsia" w:ascii="Times New Roman" w:hAnsi="Times New Roman"/>
                <w:sz w:val="24"/>
                <w:szCs w:val="24"/>
              </w:rPr>
              <w:t>污泥堆场渗滤液收集池，</w:t>
            </w:r>
            <w:r>
              <w:rPr>
                <w:rFonts w:ascii="Times New Roman" w:hAnsi="Times New Roman" w:eastAsia="Times New Roman"/>
                <w:spacing w:val="5"/>
                <w:sz w:val="24"/>
                <w:szCs w:val="24"/>
              </w:rPr>
              <w:t>1</w:t>
            </w:r>
            <w:r>
              <w:rPr>
                <w:spacing w:val="5"/>
                <w:sz w:val="24"/>
                <w:szCs w:val="24"/>
              </w:rPr>
              <w:t>座，容积约为</w:t>
            </w:r>
            <w:r>
              <w:rPr>
                <w:rFonts w:hint="eastAsia" w:ascii="Times New Roman" w:hAnsi="Times New Roman"/>
                <w:spacing w:val="5"/>
                <w:sz w:val="24"/>
                <w:szCs w:val="24"/>
              </w:rPr>
              <w:t>5</w:t>
            </w:r>
            <w:r>
              <w:rPr>
                <w:rFonts w:ascii="Times New Roman" w:hAnsi="Times New Roman" w:eastAsia="Times New Roman"/>
                <w:spacing w:val="5"/>
                <w:sz w:val="24"/>
                <w:szCs w:val="24"/>
              </w:rPr>
              <w:t>m</w:t>
            </w:r>
            <w:r>
              <w:rPr>
                <w:rFonts w:hint="eastAsia" w:ascii="Times New Roman" w:hAnsi="Times New Roman"/>
                <w:spacing w:val="5"/>
                <w:sz w:val="24"/>
                <w:szCs w:val="24"/>
                <w:vertAlign w:val="superscript"/>
              </w:rPr>
              <w:t>3</w:t>
            </w:r>
            <w:r>
              <w:rPr>
                <w:spacing w:val="5"/>
                <w:sz w:val="24"/>
                <w:szCs w:val="24"/>
              </w:rPr>
              <w:t>，用于收集</w:t>
            </w:r>
            <w:r>
              <w:rPr>
                <w:rFonts w:hint="eastAsia" w:ascii="Times New Roman" w:hAnsi="Times New Roman"/>
                <w:sz w:val="24"/>
                <w:szCs w:val="24"/>
              </w:rPr>
              <w:t>污泥堆场产生的渗滤液</w:t>
            </w:r>
          </w:p>
        </w:tc>
        <w:tc>
          <w:tcPr>
            <w:tcW w:w="2812" w:type="dxa"/>
            <w:vMerge w:val="continue"/>
            <w:vAlign w:val="center"/>
          </w:tcPr>
          <w:p>
            <w:pPr>
              <w:adjustRightInd w:val="0"/>
              <w:snapToGrid w:val="0"/>
              <w:jc w:val="center"/>
              <w:rPr>
                <w:iCs/>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43" w:type="dxa"/>
            <w:vMerge w:val="restart"/>
            <w:vAlign w:val="center"/>
          </w:tcPr>
          <w:p>
            <w:pPr>
              <w:adjustRightInd w:val="0"/>
              <w:snapToGrid w:val="0"/>
              <w:jc w:val="center"/>
              <w:rPr>
                <w:rFonts w:ascii="Times New Roman" w:hAnsi="Times New Roman" w:eastAsia="宋体" w:cs="Times New Roman"/>
                <w:kern w:val="0"/>
                <w:sz w:val="24"/>
                <w:lang w:bidi="ar"/>
              </w:rPr>
            </w:pPr>
            <w:r>
              <w:rPr>
                <w:rFonts w:ascii="Times New Roman" w:hAnsi="Times New Roman" w:eastAsia="宋体" w:cs="Times New Roman"/>
                <w:kern w:val="0"/>
                <w:sz w:val="24"/>
                <w:lang w:bidi="ar"/>
              </w:rPr>
              <w:t>声环境</w:t>
            </w:r>
          </w:p>
        </w:tc>
        <w:tc>
          <w:tcPr>
            <w:tcW w:w="1648" w:type="dxa"/>
            <w:gridSpan w:val="2"/>
            <w:vAlign w:val="center"/>
          </w:tcPr>
          <w:p>
            <w:pPr>
              <w:adjustRightInd w:val="0"/>
              <w:snapToGrid w:val="0"/>
              <w:jc w:val="center"/>
              <w:rPr>
                <w:rFonts w:ascii="Times New Roman" w:hAnsi="Times New Roman" w:eastAsia="宋体" w:cs="Times New Roman"/>
                <w:kern w:val="0"/>
                <w:sz w:val="24"/>
                <w:lang w:bidi="ar"/>
              </w:rPr>
            </w:pPr>
            <w:r>
              <w:rPr>
                <w:rFonts w:ascii="Times New Roman" w:hAnsi="Times New Roman" w:eastAsia="宋体" w:cs="Times New Roman"/>
                <w:kern w:val="0"/>
                <w:sz w:val="24"/>
                <w:lang w:bidi="ar"/>
              </w:rPr>
              <w:t>设备噪声</w:t>
            </w:r>
          </w:p>
        </w:tc>
        <w:tc>
          <w:tcPr>
            <w:tcW w:w="1036" w:type="dxa"/>
            <w:vMerge w:val="restart"/>
            <w:vAlign w:val="center"/>
          </w:tcPr>
          <w:p>
            <w:pPr>
              <w:adjustRightInd w:val="0"/>
              <w:snapToGrid w:val="0"/>
              <w:jc w:val="center"/>
              <w:rPr>
                <w:rFonts w:ascii="Times New Roman" w:hAnsi="Times New Roman" w:eastAsia="宋体" w:cs="Times New Roman"/>
                <w:kern w:val="0"/>
                <w:sz w:val="24"/>
                <w:lang w:bidi="ar"/>
              </w:rPr>
            </w:pPr>
            <w:r>
              <w:rPr>
                <w:rFonts w:ascii="Times New Roman" w:hAnsi="Times New Roman" w:eastAsia="宋体" w:cs="Times New Roman"/>
                <w:kern w:val="0"/>
                <w:sz w:val="24"/>
                <w:lang w:bidi="ar"/>
              </w:rPr>
              <w:t>噪声</w:t>
            </w:r>
          </w:p>
        </w:tc>
        <w:tc>
          <w:tcPr>
            <w:tcW w:w="1758" w:type="dxa"/>
            <w:vAlign w:val="center"/>
          </w:tcPr>
          <w:p>
            <w:pPr>
              <w:adjustRightInd w:val="0"/>
              <w:snapToGrid w:val="0"/>
              <w:rPr>
                <w:rFonts w:ascii="Times New Roman" w:hAnsi="Times New Roman" w:eastAsia="宋体" w:cs="Times New Roman"/>
                <w:kern w:val="0"/>
                <w:sz w:val="24"/>
                <w:lang w:bidi="ar"/>
              </w:rPr>
            </w:pPr>
            <w:r>
              <w:rPr>
                <w:rFonts w:ascii="Times New Roman" w:hAnsi="Times New Roman" w:eastAsia="宋体" w:cs="Times New Roman"/>
                <w:sz w:val="24"/>
              </w:rPr>
              <w:t>布设在厂房内，设置减振垫</w:t>
            </w:r>
          </w:p>
        </w:tc>
        <w:tc>
          <w:tcPr>
            <w:tcW w:w="2812" w:type="dxa"/>
            <w:vAlign w:val="center"/>
          </w:tcPr>
          <w:p>
            <w:pPr>
              <w:adjustRightInd w:val="0"/>
              <w:snapToGrid w:val="0"/>
              <w:rPr>
                <w:rFonts w:ascii="Times New Roman" w:hAnsi="Times New Roman" w:eastAsia="宋体" w:cs="Times New Roman"/>
                <w:kern w:val="0"/>
                <w:sz w:val="24"/>
                <w:lang w:bidi="ar"/>
              </w:rPr>
            </w:pPr>
            <w:r>
              <w:rPr>
                <w:rFonts w:ascii="Times New Roman" w:hAnsi="Times New Roman" w:eastAsia="宋体" w:cs="Times New Roman"/>
                <w:kern w:val="0"/>
                <w:sz w:val="24"/>
                <w:lang w:bidi="ar"/>
              </w:rPr>
              <w:t>《声环境质量标准》（GB3096-2002）</w:t>
            </w:r>
            <w:r>
              <w:rPr>
                <w:rFonts w:hint="eastAsia" w:ascii="Times New Roman" w:hAnsi="Times New Roman" w:eastAsia="宋体" w:cs="Times New Roman"/>
                <w:kern w:val="0"/>
                <w:sz w:val="24"/>
                <w:lang w:bidi="ar"/>
              </w:rPr>
              <w:t>2</w:t>
            </w:r>
            <w:r>
              <w:rPr>
                <w:rFonts w:ascii="Times New Roman" w:hAnsi="Times New Roman" w:eastAsia="宋体" w:cs="Times New Roman"/>
                <w:kern w:val="0"/>
                <w:sz w:val="24"/>
                <w:lang w:bidi="ar"/>
              </w:rPr>
              <w:t>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43" w:type="dxa"/>
            <w:vMerge w:val="continue"/>
            <w:vAlign w:val="center"/>
          </w:tcPr>
          <w:p>
            <w:pPr>
              <w:adjustRightInd w:val="0"/>
              <w:snapToGrid w:val="0"/>
              <w:jc w:val="center"/>
              <w:rPr>
                <w:rFonts w:ascii="Times New Roman" w:hAnsi="Times New Roman" w:eastAsia="宋体" w:cs="Times New Roman"/>
                <w:kern w:val="0"/>
                <w:sz w:val="24"/>
                <w:lang w:bidi="ar"/>
              </w:rPr>
            </w:pPr>
          </w:p>
        </w:tc>
        <w:tc>
          <w:tcPr>
            <w:tcW w:w="1648" w:type="dxa"/>
            <w:gridSpan w:val="2"/>
            <w:vAlign w:val="center"/>
          </w:tcPr>
          <w:p>
            <w:pPr>
              <w:adjustRightInd w:val="0"/>
              <w:snapToGrid w:val="0"/>
              <w:jc w:val="center"/>
              <w:rPr>
                <w:rFonts w:ascii="Times New Roman" w:hAnsi="Times New Roman" w:eastAsia="宋体" w:cs="Times New Roman"/>
                <w:kern w:val="0"/>
                <w:sz w:val="24"/>
                <w:lang w:bidi="ar"/>
              </w:rPr>
            </w:pPr>
            <w:r>
              <w:rPr>
                <w:rFonts w:ascii="Times New Roman" w:hAnsi="Times New Roman" w:eastAsia="宋体" w:cs="Times New Roman"/>
                <w:kern w:val="0"/>
                <w:sz w:val="24"/>
                <w:lang w:bidi="ar"/>
              </w:rPr>
              <w:t>运输车辆</w:t>
            </w:r>
          </w:p>
        </w:tc>
        <w:tc>
          <w:tcPr>
            <w:tcW w:w="1036" w:type="dxa"/>
            <w:vMerge w:val="continue"/>
            <w:vAlign w:val="center"/>
          </w:tcPr>
          <w:p>
            <w:pPr>
              <w:adjustRightInd w:val="0"/>
              <w:snapToGrid w:val="0"/>
              <w:jc w:val="center"/>
              <w:rPr>
                <w:rFonts w:ascii="Times New Roman" w:hAnsi="Times New Roman" w:eastAsia="宋体" w:cs="Times New Roman"/>
                <w:kern w:val="0"/>
                <w:sz w:val="24"/>
                <w:lang w:bidi="ar"/>
              </w:rPr>
            </w:pPr>
          </w:p>
        </w:tc>
        <w:tc>
          <w:tcPr>
            <w:tcW w:w="1758" w:type="dxa"/>
            <w:vAlign w:val="center"/>
          </w:tcPr>
          <w:p>
            <w:pPr>
              <w:adjustRightInd w:val="0"/>
              <w:snapToGrid w:val="0"/>
              <w:jc w:val="center"/>
              <w:rPr>
                <w:rFonts w:ascii="Times New Roman" w:hAnsi="Times New Roman" w:eastAsia="宋体" w:cs="Times New Roman"/>
                <w:kern w:val="0"/>
                <w:sz w:val="24"/>
                <w:lang w:bidi="ar"/>
              </w:rPr>
            </w:pPr>
            <w:r>
              <w:rPr>
                <w:rFonts w:ascii="Times New Roman" w:hAnsi="Times New Roman" w:eastAsia="宋体" w:cs="Times New Roman"/>
                <w:kern w:val="0"/>
                <w:sz w:val="24"/>
                <w:lang w:bidi="ar"/>
              </w:rPr>
              <w:t>减速、禁鸣</w:t>
            </w:r>
          </w:p>
        </w:tc>
        <w:tc>
          <w:tcPr>
            <w:tcW w:w="2812" w:type="dxa"/>
            <w:vAlign w:val="center"/>
          </w:tcPr>
          <w:p>
            <w:pPr>
              <w:adjustRightInd w:val="0"/>
              <w:snapToGrid w:val="0"/>
              <w:jc w:val="center"/>
              <w:rPr>
                <w:rFonts w:ascii="Times New Roman" w:hAnsi="Times New Roman" w:eastAsia="宋体" w:cs="Times New Roman"/>
                <w:kern w:val="0"/>
                <w:sz w:val="24"/>
                <w:lang w:bidi="ar"/>
              </w:rPr>
            </w:pPr>
            <w:r>
              <w:rPr>
                <w:rFonts w:ascii="Times New Roman" w:hAnsi="Times New Roman" w:eastAsia="宋体" w:cs="Times New Roman"/>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43" w:type="dxa"/>
            <w:vAlign w:val="center"/>
          </w:tcPr>
          <w:p>
            <w:pPr>
              <w:adjustRightInd w:val="0"/>
              <w:snapToGrid w:val="0"/>
              <w:jc w:val="center"/>
              <w:rPr>
                <w:rFonts w:ascii="Times New Roman" w:hAnsi="Times New Roman" w:eastAsia="宋体" w:cs="Times New Roman"/>
                <w:kern w:val="0"/>
                <w:sz w:val="24"/>
                <w:lang w:bidi="ar"/>
              </w:rPr>
            </w:pPr>
            <w:r>
              <w:rPr>
                <w:rFonts w:ascii="Times New Roman" w:hAnsi="Times New Roman" w:eastAsia="宋体" w:cs="Times New Roman"/>
                <w:kern w:val="0"/>
                <w:sz w:val="24"/>
                <w:lang w:bidi="ar"/>
              </w:rPr>
              <w:t>电磁辐射</w:t>
            </w:r>
          </w:p>
        </w:tc>
        <w:tc>
          <w:tcPr>
            <w:tcW w:w="7254" w:type="dxa"/>
            <w:gridSpan w:val="5"/>
            <w:vAlign w:val="center"/>
          </w:tcPr>
          <w:p>
            <w:pPr>
              <w:adjustRightInd w:val="0"/>
              <w:snapToGrid w:val="0"/>
              <w:jc w:val="center"/>
              <w:rPr>
                <w:rFonts w:ascii="Times New Roman" w:hAnsi="Times New Roman" w:eastAsia="宋体" w:cs="Times New Roman"/>
                <w:kern w:val="0"/>
                <w:sz w:val="24"/>
                <w:lang w:bidi="ar"/>
              </w:rPr>
            </w:pPr>
            <w:r>
              <w:rPr>
                <w:rFonts w:ascii="Times New Roman" w:hAnsi="Times New Roman" w:eastAsia="宋体" w:cs="Times New Roman"/>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43" w:type="dxa"/>
            <w:vMerge w:val="restart"/>
            <w:vAlign w:val="center"/>
          </w:tcPr>
          <w:p>
            <w:pPr>
              <w:adjustRightInd w:val="0"/>
              <w:snapToGrid w:val="0"/>
              <w:jc w:val="center"/>
              <w:rPr>
                <w:rFonts w:ascii="Times New Roman" w:hAnsi="Times New Roman" w:eastAsia="宋体" w:cs="Times New Roman"/>
                <w:kern w:val="0"/>
                <w:sz w:val="24"/>
                <w:lang w:bidi="ar"/>
              </w:rPr>
            </w:pPr>
            <w:r>
              <w:rPr>
                <w:rFonts w:ascii="Times New Roman" w:hAnsi="Times New Roman" w:eastAsia="宋体" w:cs="Times New Roman"/>
                <w:kern w:val="0"/>
                <w:sz w:val="24"/>
                <w:lang w:bidi="ar"/>
              </w:rPr>
              <w:t>固体废物</w:t>
            </w:r>
          </w:p>
        </w:tc>
        <w:tc>
          <w:tcPr>
            <w:tcW w:w="1648" w:type="dxa"/>
            <w:gridSpan w:val="2"/>
            <w:vAlign w:val="center"/>
          </w:tcPr>
          <w:p>
            <w:pPr>
              <w:adjustRightInd w:val="0"/>
              <w:snapToGrid w:val="0"/>
              <w:jc w:val="center"/>
              <w:rPr>
                <w:rFonts w:ascii="Times New Roman" w:hAnsi="Times New Roman" w:eastAsia="宋体" w:cs="Times New Roman"/>
                <w:kern w:val="0"/>
                <w:sz w:val="24"/>
                <w:lang w:bidi="ar"/>
              </w:rPr>
            </w:pPr>
            <w:r>
              <w:rPr>
                <w:rFonts w:ascii="Times New Roman" w:hAnsi="Times New Roman" w:eastAsia="宋体" w:cs="Times New Roman"/>
                <w:kern w:val="0"/>
                <w:sz w:val="24"/>
              </w:rPr>
              <w:t>生活垃圾</w:t>
            </w:r>
          </w:p>
        </w:tc>
        <w:tc>
          <w:tcPr>
            <w:tcW w:w="2794" w:type="dxa"/>
            <w:gridSpan w:val="2"/>
            <w:vAlign w:val="center"/>
          </w:tcPr>
          <w:p>
            <w:pPr>
              <w:adjustRightInd w:val="0"/>
              <w:snapToGrid w:val="0"/>
              <w:rPr>
                <w:rFonts w:ascii="Times New Roman" w:hAnsi="Times New Roman" w:eastAsia="宋体" w:cs="Times New Roman"/>
                <w:kern w:val="0"/>
                <w:sz w:val="24"/>
                <w:lang w:bidi="ar"/>
              </w:rPr>
            </w:pPr>
            <w:r>
              <w:rPr>
                <w:rFonts w:ascii="Times New Roman" w:hAnsi="Times New Roman" w:eastAsia="宋体" w:cs="Times New Roman"/>
                <w:kern w:val="0"/>
                <w:sz w:val="24"/>
              </w:rPr>
              <w:t>办公生活区产生的生活垃圾经垃圾桶收集后，由环卫部门清运处置。</w:t>
            </w:r>
          </w:p>
        </w:tc>
        <w:tc>
          <w:tcPr>
            <w:tcW w:w="2812" w:type="dxa"/>
            <w:vMerge w:val="restart"/>
            <w:vAlign w:val="center"/>
          </w:tcPr>
          <w:p>
            <w:pPr>
              <w:adjustRightInd w:val="0"/>
              <w:snapToGrid w:val="0"/>
              <w:rPr>
                <w:rFonts w:ascii="Times New Roman" w:hAnsi="Times New Roman" w:eastAsia="宋体" w:cs="Times New Roman"/>
                <w:kern w:val="0"/>
                <w:sz w:val="24"/>
                <w:lang w:bidi="ar"/>
              </w:rPr>
            </w:pPr>
            <w:r>
              <w:rPr>
                <w:rFonts w:ascii="Times New Roman" w:hAnsi="Times New Roman" w:eastAsia="宋体" w:cs="Times New Roman"/>
                <w:sz w:val="24"/>
              </w:rPr>
              <w:t>一般固体废弃物处置执行《一般工业固体废物贮存和填埋污染控制标准》（GB18599-2020）标准要求。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43" w:type="dxa"/>
            <w:vMerge w:val="continue"/>
            <w:vAlign w:val="center"/>
          </w:tcPr>
          <w:p>
            <w:pPr>
              <w:adjustRightInd w:val="0"/>
              <w:snapToGrid w:val="0"/>
              <w:jc w:val="center"/>
              <w:rPr>
                <w:rFonts w:ascii="Times New Roman" w:hAnsi="Times New Roman" w:eastAsia="宋体" w:cs="Times New Roman"/>
                <w:kern w:val="0"/>
                <w:sz w:val="24"/>
                <w:lang w:bidi="ar"/>
              </w:rPr>
            </w:pPr>
          </w:p>
        </w:tc>
        <w:tc>
          <w:tcPr>
            <w:tcW w:w="1648" w:type="dxa"/>
            <w:gridSpan w:val="2"/>
            <w:vAlign w:val="center"/>
          </w:tcPr>
          <w:p>
            <w:pPr>
              <w:adjustRightInd w:val="0"/>
              <w:snapToGrid w:val="0"/>
              <w:jc w:val="center"/>
              <w:rPr>
                <w:rFonts w:ascii="Times New Roman" w:hAnsi="Times New Roman" w:eastAsia="宋体" w:cs="Times New Roman"/>
                <w:kern w:val="0"/>
                <w:sz w:val="24"/>
              </w:rPr>
            </w:pPr>
            <w:r>
              <w:rPr>
                <w:rFonts w:hint="eastAsia" w:ascii="Times New Roman" w:hAnsi="Times New Roman" w:eastAsia="宋体" w:cs="Times New Roman"/>
                <w:kern w:val="0"/>
                <w:sz w:val="24"/>
              </w:rPr>
              <w:t>污泥</w:t>
            </w:r>
          </w:p>
        </w:tc>
        <w:tc>
          <w:tcPr>
            <w:tcW w:w="2794" w:type="dxa"/>
            <w:gridSpan w:val="2"/>
            <w:vAlign w:val="center"/>
          </w:tcPr>
          <w:p>
            <w:pPr>
              <w:adjustRightInd w:val="0"/>
              <w:snapToGrid w:val="0"/>
              <w:rPr>
                <w:rFonts w:ascii="Times New Roman" w:hAnsi="Times New Roman" w:eastAsia="宋体" w:cs="Times New Roman"/>
                <w:spacing w:val="-1"/>
                <w:sz w:val="24"/>
              </w:rPr>
            </w:pPr>
            <w:r>
              <w:rPr>
                <w:rFonts w:ascii="Times New Roman" w:hAnsi="Times New Roman" w:eastAsia="宋体" w:cs="Times New Roman"/>
                <w:kern w:val="0"/>
                <w:sz w:val="24"/>
              </w:rPr>
              <w:t>污泥清掏至</w:t>
            </w:r>
            <w:r>
              <w:rPr>
                <w:rFonts w:hint="eastAsia" w:ascii="Times New Roman" w:hAnsi="Times New Roman" w:eastAsia="宋体" w:cs="Times New Roman"/>
                <w:kern w:val="0"/>
                <w:sz w:val="24"/>
              </w:rPr>
              <w:t>污泥</w:t>
            </w:r>
            <w:r>
              <w:rPr>
                <w:rFonts w:ascii="Times New Roman" w:hAnsi="Times New Roman" w:eastAsia="宋体" w:cs="Times New Roman"/>
                <w:kern w:val="0"/>
                <w:sz w:val="24"/>
              </w:rPr>
              <w:t>堆场暂存，后外售给环保砖厂作为原料生产环保砖。</w:t>
            </w:r>
          </w:p>
        </w:tc>
        <w:tc>
          <w:tcPr>
            <w:tcW w:w="2812" w:type="dxa"/>
            <w:vMerge w:val="continue"/>
            <w:vAlign w:val="center"/>
          </w:tcPr>
          <w:p>
            <w:pPr>
              <w:adjustRightInd w:val="0"/>
              <w:snapToGrid w:val="0"/>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43" w:type="dxa"/>
            <w:vMerge w:val="continue"/>
            <w:vAlign w:val="center"/>
          </w:tcPr>
          <w:p>
            <w:pPr>
              <w:adjustRightInd w:val="0"/>
              <w:snapToGrid w:val="0"/>
              <w:jc w:val="center"/>
              <w:rPr>
                <w:rFonts w:ascii="Times New Roman" w:hAnsi="Times New Roman" w:eastAsia="宋体" w:cs="Times New Roman"/>
                <w:kern w:val="0"/>
                <w:sz w:val="24"/>
                <w:lang w:bidi="ar"/>
              </w:rPr>
            </w:pPr>
          </w:p>
        </w:tc>
        <w:tc>
          <w:tcPr>
            <w:tcW w:w="1648" w:type="dxa"/>
            <w:gridSpan w:val="2"/>
            <w:vAlign w:val="center"/>
          </w:tcPr>
          <w:p>
            <w:pPr>
              <w:adjustRightInd w:val="0"/>
              <w:snapToGrid w:val="0"/>
              <w:jc w:val="center"/>
              <w:rPr>
                <w:rFonts w:ascii="Times New Roman" w:hAnsi="Times New Roman" w:eastAsia="宋体" w:cs="Times New Roman"/>
                <w:kern w:val="0"/>
                <w:sz w:val="24"/>
              </w:rPr>
            </w:pPr>
            <w:r>
              <w:rPr>
                <w:rFonts w:ascii="Times New Roman" w:hAnsi="Times New Roman" w:eastAsia="宋体" w:cs="Times New Roman"/>
                <w:sz w:val="24"/>
              </w:rPr>
              <w:t>废润滑油</w:t>
            </w:r>
          </w:p>
        </w:tc>
        <w:tc>
          <w:tcPr>
            <w:tcW w:w="2794" w:type="dxa"/>
            <w:gridSpan w:val="2"/>
            <w:vAlign w:val="center"/>
          </w:tcPr>
          <w:p>
            <w:pPr>
              <w:adjustRightInd w:val="0"/>
              <w:snapToGrid w:val="0"/>
              <w:rPr>
                <w:rFonts w:ascii="Times New Roman" w:hAnsi="Times New Roman" w:eastAsia="宋体" w:cs="Times New Roman"/>
                <w:spacing w:val="-1"/>
                <w:sz w:val="24"/>
              </w:rPr>
            </w:pPr>
            <w:r>
              <w:rPr>
                <w:rFonts w:ascii="Times New Roman" w:hAnsi="Times New Roman" w:eastAsia="宋体" w:cs="Times New Roman"/>
                <w:sz w:val="24"/>
              </w:rPr>
              <w:t>收集后暂存在</w:t>
            </w:r>
            <w:r>
              <w:rPr>
                <w:rFonts w:hint="eastAsia" w:ascii="Times New Roman" w:hAnsi="Times New Roman" w:eastAsia="宋体" w:cs="Times New Roman"/>
                <w:sz w:val="24"/>
              </w:rPr>
              <w:t>10m</w:t>
            </w:r>
            <w:r>
              <w:rPr>
                <w:rFonts w:hint="eastAsia" w:ascii="Times New Roman" w:hAnsi="Times New Roman" w:eastAsia="宋体" w:cs="Times New Roman"/>
                <w:sz w:val="24"/>
                <w:vertAlign w:val="superscript"/>
              </w:rPr>
              <w:t>2</w:t>
            </w:r>
            <w:r>
              <w:rPr>
                <w:rFonts w:ascii="Times New Roman" w:hAnsi="Times New Roman" w:eastAsia="宋体" w:cs="Times New Roman"/>
                <w:sz w:val="24"/>
              </w:rPr>
              <w:t>危废暂存间内，委托有资质单位清运处置。</w:t>
            </w:r>
          </w:p>
        </w:tc>
        <w:tc>
          <w:tcPr>
            <w:tcW w:w="2812" w:type="dxa"/>
            <w:vAlign w:val="center"/>
          </w:tcPr>
          <w:p>
            <w:pPr>
              <w:adjustRightInd w:val="0"/>
              <w:snapToGrid w:val="0"/>
              <w:rPr>
                <w:rFonts w:ascii="Times New Roman" w:hAnsi="Times New Roman" w:eastAsia="宋体" w:cs="Times New Roman"/>
                <w:sz w:val="24"/>
              </w:rPr>
            </w:pPr>
            <w:r>
              <w:rPr>
                <w:rFonts w:ascii="Times New Roman" w:hAnsi="Times New Roman" w:eastAsia="宋体" w:cs="Times New Roman"/>
                <w:bCs/>
                <w:sz w:val="24"/>
              </w:rPr>
              <w:t>执行</w:t>
            </w:r>
            <w:r>
              <w:rPr>
                <w:rFonts w:ascii="Times New Roman" w:hAnsi="Times New Roman" w:eastAsia="宋体" w:cs="Times New Roman"/>
                <w:kern w:val="0"/>
                <w:sz w:val="24"/>
                <w:lang w:bidi="ar"/>
              </w:rPr>
              <w:t>《危险废物贮存污染控制标准》(GB 18597—2023)，</w:t>
            </w:r>
            <w:r>
              <w:rPr>
                <w:rFonts w:ascii="Times New Roman" w:hAnsi="Times New Roman" w:eastAsia="宋体" w:cs="Times New Roman"/>
                <w:bCs/>
                <w:sz w:val="24"/>
              </w:rPr>
              <w:t>《危险废物贮存污染。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43" w:type="dxa"/>
            <w:vAlign w:val="center"/>
          </w:tcPr>
          <w:p>
            <w:pPr>
              <w:adjustRightInd w:val="0"/>
              <w:snapToGrid w:val="0"/>
              <w:jc w:val="center"/>
              <w:rPr>
                <w:rFonts w:ascii="Times New Roman" w:hAnsi="Times New Roman" w:eastAsia="宋体" w:cs="Times New Roman"/>
                <w:kern w:val="0"/>
                <w:sz w:val="24"/>
                <w:lang w:bidi="ar"/>
              </w:rPr>
            </w:pPr>
            <w:r>
              <w:rPr>
                <w:rFonts w:ascii="Times New Roman" w:hAnsi="Times New Roman" w:eastAsia="宋体" w:cs="Times New Roman"/>
                <w:kern w:val="0"/>
                <w:sz w:val="24"/>
                <w:lang w:bidi="ar"/>
              </w:rPr>
              <w:t>土壤及地下水防治措施</w:t>
            </w:r>
          </w:p>
        </w:tc>
        <w:tc>
          <w:tcPr>
            <w:tcW w:w="7254" w:type="dxa"/>
            <w:gridSpan w:val="5"/>
            <w:vAlign w:val="center"/>
          </w:tcPr>
          <w:p>
            <w:pPr>
              <w:adjustRightInd w:val="0"/>
              <w:snapToGrid w:val="0"/>
              <w:rPr>
                <w:rFonts w:ascii="Times New Roman" w:hAnsi="Times New Roman" w:eastAsia="宋体" w:cs="Times New Roman"/>
                <w:kern w:val="0"/>
                <w:sz w:val="24"/>
                <w:lang w:bidi="ar"/>
              </w:rPr>
            </w:pPr>
            <w:r>
              <w:rPr>
                <w:rFonts w:ascii="Times New Roman" w:hAnsi="Times New Roman" w:eastAsia="宋体" w:cs="Times New Roman"/>
                <w:kern w:val="0"/>
                <w:sz w:val="24"/>
                <w:lang w:bidi="ar"/>
              </w:rPr>
              <w:t>分区防渗。</w:t>
            </w:r>
            <w:r>
              <w:rPr>
                <w:rFonts w:ascii="Times New Roman" w:hAnsi="Times New Roman" w:eastAsia="宋体" w:cs="Times New Roman"/>
                <w:spacing w:val="7"/>
                <w:sz w:val="24"/>
              </w:rPr>
              <w:t>危废暂存间</w:t>
            </w:r>
            <w:r>
              <w:rPr>
                <w:rFonts w:ascii="Times New Roman" w:hAnsi="Times New Roman" w:eastAsia="宋体" w:cs="Times New Roman"/>
                <w:spacing w:val="5"/>
                <w:sz w:val="24"/>
              </w:rPr>
              <w:t>采取了重点防渗措施，防渗技术要求为“防渗层为至少1</w:t>
            </w:r>
            <w:r>
              <w:rPr>
                <w:rFonts w:ascii="Times New Roman" w:hAnsi="Times New Roman" w:eastAsia="宋体" w:cs="Times New Roman"/>
                <w:sz w:val="24"/>
              </w:rPr>
              <w:t>m</w:t>
            </w:r>
            <w:r>
              <w:rPr>
                <w:rFonts w:ascii="Times New Roman" w:hAnsi="Times New Roman" w:eastAsia="宋体" w:cs="Times New Roman"/>
                <w:spacing w:val="5"/>
                <w:sz w:val="24"/>
              </w:rPr>
              <w:t>厚黏土层(渗</w:t>
            </w:r>
            <w:r>
              <w:rPr>
                <w:rFonts w:ascii="Times New Roman" w:hAnsi="Times New Roman" w:eastAsia="宋体" w:cs="Times New Roman"/>
                <w:spacing w:val="16"/>
                <w:sz w:val="24"/>
              </w:rPr>
              <w:t>透系</w:t>
            </w:r>
            <w:r>
              <w:rPr>
                <w:rFonts w:ascii="Times New Roman" w:hAnsi="Times New Roman" w:eastAsia="宋体" w:cs="Times New Roman"/>
                <w:spacing w:val="15"/>
                <w:sz w:val="24"/>
              </w:rPr>
              <w:t>数</w:t>
            </w:r>
            <w:r>
              <w:rPr>
                <w:rFonts w:ascii="Times New Roman" w:hAnsi="Times New Roman" w:eastAsia="宋体" w:cs="Times New Roman"/>
                <w:spacing w:val="8"/>
                <w:sz w:val="24"/>
              </w:rPr>
              <w:t>≤10</w:t>
            </w:r>
            <w:r>
              <w:rPr>
                <w:rFonts w:hint="eastAsia" w:ascii="Times New Roman" w:hAnsi="Times New Roman" w:eastAsia="宋体" w:cs="Times New Roman"/>
                <w:spacing w:val="8"/>
                <w:sz w:val="24"/>
                <w:vertAlign w:val="superscript"/>
              </w:rPr>
              <w:t>-</w:t>
            </w:r>
            <w:r>
              <w:rPr>
                <w:rFonts w:ascii="Times New Roman" w:hAnsi="Times New Roman" w:eastAsia="宋体" w:cs="Times New Roman"/>
                <w:spacing w:val="8"/>
                <w:sz w:val="24"/>
                <w:vertAlign w:val="superscript"/>
              </w:rPr>
              <w:t>7</w:t>
            </w:r>
            <w:r>
              <w:rPr>
                <w:rFonts w:ascii="Times New Roman" w:hAnsi="Times New Roman" w:eastAsia="宋体" w:cs="Times New Roman"/>
                <w:sz w:val="24"/>
              </w:rPr>
              <w:t>cm</w:t>
            </w:r>
            <w:r>
              <w:rPr>
                <w:rFonts w:ascii="Times New Roman" w:hAnsi="Times New Roman" w:eastAsia="宋体" w:cs="Times New Roman"/>
                <w:spacing w:val="8"/>
                <w:sz w:val="24"/>
              </w:rPr>
              <w:t>/</w:t>
            </w:r>
            <w:r>
              <w:rPr>
                <w:rFonts w:ascii="Times New Roman" w:hAnsi="Times New Roman" w:eastAsia="宋体" w:cs="Times New Roman"/>
                <w:sz w:val="24"/>
              </w:rPr>
              <w:t>s</w:t>
            </w:r>
            <w:r>
              <w:rPr>
                <w:rFonts w:ascii="Times New Roman" w:hAnsi="Times New Roman" w:eastAsia="宋体" w:cs="Times New Roman"/>
                <w:spacing w:val="8"/>
                <w:sz w:val="24"/>
              </w:rPr>
              <w:t>)。</w:t>
            </w:r>
            <w:r>
              <w:rPr>
                <w:rFonts w:ascii="Times New Roman" w:hAnsi="Times New Roman" w:eastAsia="宋体" w:cs="Times New Roman"/>
                <w:spacing w:val="12"/>
                <w:sz w:val="24"/>
              </w:rPr>
              <w:t>其余厂区</w:t>
            </w:r>
            <w:r>
              <w:rPr>
                <w:rFonts w:ascii="Times New Roman" w:hAnsi="Times New Roman" w:eastAsia="宋体" w:cs="Times New Roman"/>
                <w:spacing w:val="8"/>
                <w:sz w:val="24"/>
              </w:rPr>
              <w:t>为一般防渗区域</w:t>
            </w:r>
            <w:r>
              <w:rPr>
                <w:rFonts w:ascii="Times New Roman" w:hAnsi="Times New Roman" w:eastAsia="宋体" w:cs="Times New Roman"/>
                <w:spacing w:val="12"/>
                <w:sz w:val="24"/>
              </w:rPr>
              <w:t>，采用防渗混凝土硬化地面，等效黏土防渗层</w:t>
            </w:r>
            <w:r>
              <w:rPr>
                <w:rFonts w:ascii="Times New Roman" w:hAnsi="Times New Roman" w:eastAsia="宋体" w:cs="Times New Roman"/>
                <w:sz w:val="24"/>
              </w:rPr>
              <w:t>Mb</w:t>
            </w:r>
            <w:r>
              <w:rPr>
                <w:rFonts w:ascii="Times New Roman" w:hAnsi="Times New Roman" w:eastAsia="宋体" w:cs="Times New Roman"/>
                <w:spacing w:val="12"/>
                <w:sz w:val="24"/>
              </w:rPr>
              <w:t>≥1.5</w:t>
            </w:r>
            <w:r>
              <w:rPr>
                <w:rFonts w:ascii="Times New Roman" w:hAnsi="Times New Roman" w:eastAsia="宋体" w:cs="Times New Roman"/>
                <w:sz w:val="24"/>
              </w:rPr>
              <w:t>m</w:t>
            </w:r>
            <w:r>
              <w:rPr>
                <w:rFonts w:ascii="Times New Roman" w:hAnsi="Times New Roman" w:eastAsia="宋体" w:cs="Times New Roman"/>
                <w:spacing w:val="12"/>
                <w:sz w:val="24"/>
              </w:rPr>
              <w:t>，</w:t>
            </w:r>
            <w:r>
              <w:rPr>
                <w:rFonts w:ascii="Times New Roman" w:hAnsi="Times New Roman" w:eastAsia="宋体" w:cs="Times New Roman"/>
                <w:sz w:val="24"/>
              </w:rPr>
              <w:t>K</w:t>
            </w:r>
            <w:r>
              <w:rPr>
                <w:rFonts w:ascii="Times New Roman" w:hAnsi="Times New Roman" w:eastAsia="宋体" w:cs="Times New Roman"/>
                <w:spacing w:val="2"/>
                <w:sz w:val="24"/>
              </w:rPr>
              <w:t>≤1×10</w:t>
            </w:r>
            <w:r>
              <w:rPr>
                <w:rFonts w:hint="eastAsia" w:ascii="Times New Roman" w:hAnsi="Times New Roman" w:eastAsia="宋体" w:cs="Times New Roman"/>
                <w:spacing w:val="2"/>
                <w:sz w:val="24"/>
                <w:vertAlign w:val="superscript"/>
              </w:rPr>
              <w:t>-</w:t>
            </w:r>
            <w:r>
              <w:rPr>
                <w:rFonts w:ascii="Times New Roman" w:hAnsi="Times New Roman" w:eastAsia="宋体" w:cs="Times New Roman"/>
                <w:spacing w:val="8"/>
                <w:sz w:val="24"/>
                <w:vertAlign w:val="superscript"/>
              </w:rPr>
              <w:t>7</w:t>
            </w:r>
            <w:r>
              <w:rPr>
                <w:rFonts w:ascii="Times New Roman" w:hAnsi="Times New Roman" w:eastAsia="宋体" w:cs="Times New Roman"/>
                <w:sz w:val="24"/>
              </w:rPr>
              <w:t>cm</w:t>
            </w:r>
            <w:r>
              <w:rPr>
                <w:rFonts w:ascii="Times New Roman" w:hAnsi="Times New Roman" w:eastAsia="宋体" w:cs="Times New Roman"/>
                <w:spacing w:val="2"/>
                <w:sz w:val="24"/>
              </w:rPr>
              <w:t>/</w:t>
            </w:r>
            <w:r>
              <w:rPr>
                <w:rFonts w:ascii="Times New Roman" w:hAnsi="Times New Roman" w:eastAsia="宋体" w:cs="Times New Roman"/>
                <w:sz w:val="24"/>
              </w:rPr>
              <w:t>s</w:t>
            </w:r>
            <w:r>
              <w:rPr>
                <w:rFonts w:ascii="Times New Roman" w:hAnsi="Times New Roman" w:eastAsia="宋体" w:cs="Times New Roman"/>
                <w:spacing w:val="2"/>
                <w:sz w:val="24"/>
              </w:rPr>
              <w:t>。其他区域采取简单防渗措施。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43" w:type="dxa"/>
            <w:vAlign w:val="center"/>
          </w:tcPr>
          <w:p>
            <w:pPr>
              <w:adjustRightInd w:val="0"/>
              <w:snapToGrid w:val="0"/>
              <w:jc w:val="center"/>
              <w:rPr>
                <w:rFonts w:ascii="Times New Roman" w:hAnsi="Times New Roman" w:eastAsia="宋体" w:cs="Times New Roman"/>
                <w:kern w:val="0"/>
                <w:sz w:val="24"/>
                <w:lang w:bidi="ar"/>
              </w:rPr>
            </w:pPr>
            <w:r>
              <w:rPr>
                <w:rFonts w:ascii="Times New Roman" w:hAnsi="Times New Roman" w:eastAsia="宋体" w:cs="Times New Roman"/>
                <w:kern w:val="0"/>
                <w:sz w:val="24"/>
                <w:lang w:bidi="ar"/>
              </w:rPr>
              <w:t>生态保护措施</w:t>
            </w:r>
          </w:p>
        </w:tc>
        <w:tc>
          <w:tcPr>
            <w:tcW w:w="7254" w:type="dxa"/>
            <w:gridSpan w:val="5"/>
            <w:vAlign w:val="center"/>
          </w:tcPr>
          <w:p>
            <w:pPr>
              <w:adjustRightInd w:val="0"/>
              <w:snapToGrid w:val="0"/>
              <w:jc w:val="center"/>
              <w:rPr>
                <w:rFonts w:ascii="Times New Roman" w:hAnsi="Times New Roman" w:eastAsia="宋体" w:cs="Times New Roman"/>
                <w:kern w:val="0"/>
                <w:sz w:val="24"/>
                <w:lang w:bidi="ar"/>
              </w:rPr>
            </w:pPr>
            <w:r>
              <w:rPr>
                <w:rFonts w:ascii="Times New Roman" w:hAnsi="Times New Roman" w:eastAsia="宋体" w:cs="Times New Roman"/>
                <w:kern w:val="0"/>
                <w:sz w:val="24"/>
                <w:lang w:bidi="ar"/>
              </w:rPr>
              <w:t>厂区设置绿化措施</w:t>
            </w:r>
            <w:r>
              <w:rPr>
                <w:rFonts w:hint="eastAsia" w:ascii="Times New Roman" w:hAnsi="Times New Roman" w:eastAsia="宋体" w:cs="Times New Roman"/>
                <w:kern w:val="0"/>
                <w:sz w:val="24"/>
                <w:lang w:bidi="ar"/>
              </w:rPr>
              <w:t>；</w:t>
            </w:r>
            <w:r>
              <w:rPr>
                <w:rFonts w:hint="eastAsia" w:ascii="Times New Roman" w:hAnsi="Times New Roman" w:eastAsia="宋体" w:cs="Times New Roman"/>
                <w:sz w:val="24"/>
              </w:rPr>
              <w:t>北桥河一侧修建拦挡措施，北桥河一侧减少堆存量，水土保持措施</w:t>
            </w:r>
            <w:r>
              <w:rPr>
                <w:rFonts w:hint="eastAsia" w:ascii="Times New Roman" w:hAnsi="Times New Roman" w:eastAsia="宋体" w:cs="Times New Roman"/>
                <w:sz w:val="24"/>
                <w:lang w:eastAsia="zh-CN"/>
              </w:rPr>
              <w:t>以</w:t>
            </w:r>
            <w:r>
              <w:rPr>
                <w:rFonts w:hint="eastAsia" w:ascii="Times New Roman" w:hAnsi="Times New Roman" w:eastAsia="宋体" w:cs="Times New Roman"/>
                <w:sz w:val="24"/>
              </w:rPr>
              <w:t>《水土保持方案初步设计报告书》为主</w:t>
            </w:r>
            <w:r>
              <w:rPr>
                <w:rFonts w:ascii="Times New Roman" w:hAnsi="Times New Roman" w:eastAsia="宋体" w:cs="Times New Roman"/>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43" w:type="dxa"/>
            <w:vAlign w:val="center"/>
          </w:tcPr>
          <w:p>
            <w:pPr>
              <w:adjustRightInd w:val="0"/>
              <w:snapToGrid w:val="0"/>
              <w:jc w:val="center"/>
              <w:rPr>
                <w:rFonts w:ascii="Times New Roman" w:hAnsi="Times New Roman" w:eastAsia="宋体" w:cs="Times New Roman"/>
                <w:kern w:val="0"/>
                <w:sz w:val="24"/>
                <w:lang w:bidi="ar"/>
              </w:rPr>
            </w:pPr>
            <w:r>
              <w:rPr>
                <w:rFonts w:ascii="Times New Roman" w:hAnsi="Times New Roman" w:eastAsia="宋体" w:cs="Times New Roman"/>
                <w:kern w:val="0"/>
                <w:sz w:val="24"/>
                <w:lang w:bidi="ar"/>
              </w:rPr>
              <w:t>环境风险防范措施</w:t>
            </w:r>
          </w:p>
        </w:tc>
        <w:tc>
          <w:tcPr>
            <w:tcW w:w="7254" w:type="dxa"/>
            <w:gridSpan w:val="5"/>
            <w:vAlign w:val="center"/>
          </w:tcPr>
          <w:p>
            <w:pPr>
              <w:adjustRightInd w:val="0"/>
              <w:snapToGrid w:val="0"/>
              <w:rPr>
                <w:rFonts w:ascii="Times New Roman" w:hAnsi="Times New Roman" w:eastAsia="宋体" w:cs="Times New Roman"/>
                <w:kern w:val="0"/>
                <w:sz w:val="24"/>
                <w:lang w:bidi="ar"/>
              </w:rPr>
            </w:pPr>
            <w:r>
              <w:rPr>
                <w:rFonts w:ascii="Times New Roman" w:hAnsi="Times New Roman" w:eastAsia="宋体" w:cs="Times New Roman"/>
                <w:kern w:val="0"/>
                <w:sz w:val="24"/>
                <w:lang w:bidi="ar"/>
              </w:rPr>
              <w:t>建议编制突发环境事件应急预案，切实采取风险防范措施，做好应对突发情况的准备，将风险影响降至最低。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43" w:type="dxa"/>
            <w:vAlign w:val="center"/>
          </w:tcPr>
          <w:p>
            <w:pPr>
              <w:adjustRightInd w:val="0"/>
              <w:snapToGrid w:val="0"/>
              <w:jc w:val="center"/>
              <w:rPr>
                <w:rFonts w:ascii="Times New Roman" w:hAnsi="Times New Roman" w:eastAsia="宋体" w:cs="Times New Roman"/>
                <w:kern w:val="0"/>
                <w:sz w:val="24"/>
                <w:lang w:bidi="ar"/>
              </w:rPr>
            </w:pPr>
            <w:r>
              <w:rPr>
                <w:rFonts w:ascii="Times New Roman" w:hAnsi="Times New Roman" w:eastAsia="宋体" w:cs="Times New Roman"/>
                <w:kern w:val="0"/>
                <w:sz w:val="24"/>
                <w:lang w:bidi="ar"/>
              </w:rPr>
              <w:t>其他环境管理要求</w:t>
            </w:r>
          </w:p>
        </w:tc>
        <w:tc>
          <w:tcPr>
            <w:tcW w:w="7254" w:type="dxa"/>
            <w:gridSpan w:val="5"/>
            <w:vAlign w:val="center"/>
          </w:tcPr>
          <w:p>
            <w:pPr>
              <w:adjustRightInd w:val="0"/>
              <w:snapToGrid w:val="0"/>
              <w:rPr>
                <w:rFonts w:ascii="Times New Roman" w:hAnsi="Times New Roman" w:eastAsia="宋体" w:cs="Times New Roman"/>
                <w:kern w:val="0"/>
                <w:sz w:val="24"/>
                <w:lang w:bidi="ar"/>
              </w:rPr>
            </w:pPr>
            <w:r>
              <w:rPr>
                <w:rFonts w:ascii="Times New Roman" w:hAnsi="Times New Roman" w:eastAsia="宋体" w:cs="Times New Roman"/>
                <w:kern w:val="0"/>
                <w:sz w:val="24"/>
                <w:lang w:bidi="ar"/>
              </w:rPr>
              <w:t>开展台账记录、排污许可证申请、自行监测等。</w:t>
            </w:r>
          </w:p>
        </w:tc>
      </w:tr>
    </w:tbl>
    <w:p>
      <w:pPr>
        <w:rPr>
          <w:rFonts w:ascii="Times New Roman" w:hAnsi="Times New Roman" w:eastAsia="宋体" w:cs="Times New Roman"/>
        </w:rPr>
      </w:pPr>
    </w:p>
    <w:p>
      <w:pPr>
        <w:pStyle w:val="27"/>
        <w:ind w:firstLine="0" w:firstLineChars="0"/>
        <w:rPr>
          <w:rFonts w:ascii="Times New Roman" w:hAnsi="Times New Roman" w:eastAsia="宋体" w:cs="Times New Roman"/>
        </w:rPr>
      </w:pPr>
    </w:p>
    <w:p>
      <w:pPr>
        <w:rPr>
          <w:rFonts w:ascii="Times New Roman" w:hAnsi="Times New Roman" w:eastAsia="宋体" w:cs="Times New Roman"/>
        </w:rPr>
        <w:sectPr>
          <w:pgSz w:w="11906" w:h="16838"/>
          <w:pgMar w:top="1440" w:right="1800" w:bottom="1440" w:left="1800" w:header="851" w:footer="992" w:gutter="0"/>
          <w:cols w:space="425" w:num="1"/>
          <w:docGrid w:type="lines" w:linePitch="312" w:charSpace="0"/>
        </w:sectPr>
      </w:pPr>
    </w:p>
    <w:p>
      <w:pPr>
        <w:pStyle w:val="2"/>
        <w:adjustRightInd w:val="0"/>
        <w:snapToGrid w:val="0"/>
        <w:spacing w:before="0" w:after="0" w:line="240" w:lineRule="auto"/>
        <w:jc w:val="center"/>
        <w:rPr>
          <w:rFonts w:ascii="Times New Roman" w:hAnsi="Times New Roman" w:eastAsia="宋体" w:cs="Times New Roman"/>
        </w:rPr>
      </w:pPr>
      <w:bookmarkStart w:id="313" w:name="_Toc9171"/>
      <w:r>
        <w:rPr>
          <w:rFonts w:ascii="Times New Roman" w:hAnsi="Times New Roman" w:eastAsia="宋体" w:cs="Times New Roman"/>
        </w:rPr>
        <w:t>六、结论</w:t>
      </w:r>
      <w:bookmarkEnd w:id="313"/>
    </w:p>
    <w:tbl>
      <w:tblPr>
        <w:tblStyle w:val="3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9" w:hRule="atLeast"/>
          <w:jc w:val="center"/>
        </w:trPr>
        <w:tc>
          <w:tcPr>
            <w:tcW w:w="5000" w:type="pct"/>
          </w:tcPr>
          <w:p>
            <w:pPr>
              <w:widowControl/>
              <w:adjustRightInd w:val="0"/>
              <w:snapToGrid w:val="0"/>
              <w:spacing w:line="360" w:lineRule="auto"/>
              <w:ind w:firstLine="480" w:firstLineChars="200"/>
              <w:rPr>
                <w:rFonts w:ascii="Times New Roman" w:hAnsi="Times New Roman" w:eastAsia="宋体" w:cs="Times New Roman"/>
                <w:kern w:val="0"/>
                <w:sz w:val="22"/>
                <w:szCs w:val="22"/>
                <w:lang w:bidi="ar"/>
              </w:rPr>
            </w:pPr>
            <w:r>
              <w:rPr>
                <w:rFonts w:ascii="Times New Roman" w:hAnsi="Times New Roman" w:eastAsia="宋体" w:cs="Times New Roman"/>
                <w:kern w:val="0"/>
                <w:sz w:val="24"/>
                <w:lang w:bidi="ar"/>
              </w:rPr>
              <w:t>本项目的建设符合国家及地方产业政策，选址和布局合理可行。项目必须严格执行国家规定“三同时”原则，保证各类污染物均有效处理。通过对项目所在区域的环境现状以及项目废气、废水、噪声、固体废物等产生的环境影响进行分析，在采取环评提出的防治措施后，这些环境影响可以得到有效控制。从环境保护的角度分析，该项目的建设是可行的。</w:t>
            </w:r>
          </w:p>
        </w:tc>
      </w:tr>
    </w:tbl>
    <w:p>
      <w:pPr>
        <w:spacing w:line="360" w:lineRule="auto"/>
        <w:rPr>
          <w:rFonts w:ascii="Times New Roman" w:hAnsi="Times New Roman" w:eastAsia="宋体" w:cs="Times New Roman"/>
          <w:kern w:val="0"/>
          <w:sz w:val="22"/>
          <w:szCs w:val="22"/>
          <w:lang w:bidi="ar"/>
        </w:rPr>
        <w:sectPr>
          <w:pgSz w:w="11906" w:h="16838"/>
          <w:pgMar w:top="1440" w:right="1800" w:bottom="1440" w:left="1800" w:header="851" w:footer="992" w:gutter="0"/>
          <w:cols w:space="425" w:num="1"/>
          <w:docGrid w:type="lines" w:linePitch="312" w:charSpace="0"/>
        </w:sectPr>
      </w:pPr>
    </w:p>
    <w:p>
      <w:pPr>
        <w:pStyle w:val="41"/>
        <w:ind w:firstLine="0" w:firstLineChars="0"/>
        <w:jc w:val="left"/>
        <w:outlineLvl w:val="0"/>
        <w:rPr>
          <w:rFonts w:ascii="Times New Roman" w:hAnsi="Times New Roman" w:cs="Times New Roman"/>
          <w:b/>
          <w:bCs/>
          <w:sz w:val="28"/>
          <w:szCs w:val="28"/>
        </w:rPr>
      </w:pPr>
      <w:bookmarkStart w:id="314" w:name="_Toc22673"/>
      <w:r>
        <w:rPr>
          <w:rFonts w:ascii="Times New Roman" w:hAnsi="Times New Roman" w:cs="Times New Roman"/>
          <w:b/>
          <w:bCs/>
          <w:sz w:val="28"/>
          <w:szCs w:val="28"/>
        </w:rPr>
        <w:t>附表：</w:t>
      </w:r>
      <w:bookmarkEnd w:id="314"/>
    </w:p>
    <w:p>
      <w:pPr>
        <w:jc w:val="center"/>
        <w:rPr>
          <w:rFonts w:ascii="Times New Roman" w:hAnsi="Times New Roman" w:eastAsia="宋体" w:cs="Times New Roman"/>
          <w:b/>
          <w:bCs/>
          <w:sz w:val="24"/>
          <w:szCs w:val="32"/>
        </w:rPr>
      </w:pPr>
      <w:bookmarkStart w:id="315" w:name="_Toc14787"/>
      <w:r>
        <w:rPr>
          <w:rFonts w:ascii="Times New Roman" w:hAnsi="Times New Roman" w:eastAsia="宋体" w:cs="Times New Roman"/>
          <w:b/>
          <w:bCs/>
          <w:sz w:val="24"/>
          <w:szCs w:val="32"/>
        </w:rPr>
        <w:t>建设项目污染物排放量汇总表</w:t>
      </w:r>
      <w:bookmarkEnd w:id="315"/>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2"/>
        <w:gridCol w:w="966"/>
        <w:gridCol w:w="2029"/>
        <w:gridCol w:w="1386"/>
        <w:gridCol w:w="1380"/>
        <w:gridCol w:w="1386"/>
        <w:gridCol w:w="1397"/>
        <w:gridCol w:w="1415"/>
        <w:gridCol w:w="1710"/>
        <w:gridCol w:w="1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jc w:val="center"/>
        </w:trPr>
        <w:tc>
          <w:tcPr>
            <w:tcW w:w="1262" w:type="dxa"/>
            <w:vAlign w:val="center"/>
          </w:tcPr>
          <w:p>
            <w:pPr>
              <w:pStyle w:val="43"/>
              <w:widowControl/>
              <w:spacing w:line="240" w:lineRule="auto"/>
              <w:ind w:firstLine="0" w:firstLineChars="0"/>
              <w:jc w:val="center"/>
              <w:rPr>
                <w:b/>
                <w:bCs/>
                <w:sz w:val="24"/>
                <w:szCs w:val="24"/>
              </w:rPr>
            </w:pPr>
            <w:r>
              <w:rPr>
                <w:b/>
                <w:bCs/>
                <w:sz w:val="24"/>
                <w:szCs w:val="24"/>
              </w:rPr>
              <mc:AlternateContent>
                <mc:Choice Requires="wps">
                  <w:drawing>
                    <wp:anchor distT="0" distB="0" distL="114300" distR="114300" simplePos="0" relativeHeight="251659264" behindDoc="0" locked="0" layoutInCell="1" allowOverlap="1">
                      <wp:simplePos x="0" y="0"/>
                      <wp:positionH relativeFrom="column">
                        <wp:posOffset>-74930</wp:posOffset>
                      </wp:positionH>
                      <wp:positionV relativeFrom="paragraph">
                        <wp:posOffset>10160</wp:posOffset>
                      </wp:positionV>
                      <wp:extent cx="809625" cy="768350"/>
                      <wp:effectExtent l="3175" t="3175" r="6350" b="9525"/>
                      <wp:wrapNone/>
                      <wp:docPr id="231" name="直接连接符 231"/>
                      <wp:cNvGraphicFramePr/>
                      <a:graphic xmlns:a="http://schemas.openxmlformats.org/drawingml/2006/main">
                        <a:graphicData uri="http://schemas.microsoft.com/office/word/2010/wordprocessingShape">
                          <wps:wsp>
                            <wps:cNvCnPr/>
                            <wps:spPr>
                              <a:xfrm>
                                <a:off x="839470" y="1752600"/>
                                <a:ext cx="809625" cy="768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5.9pt;margin-top:0.8pt;height:60.5pt;width:63.75pt;z-index:251659264;mso-width-relative:page;mso-height-relative:page;" filled="f" stroked="t" coordsize="21600,21600" o:gfxdata="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KX8g03WAAAACQEAAA8AAAAAAAAAAQAgAAAAIgAAAGRycy9kb3ducmV2LnhtbFBLAQIU&#10;ABQAAAAIAIdO4kBnP1EC9QEAAMQDAAAOAAAAAAAAAAEAIAAAACUBAABkcnMvZTJvRG9jLnhtbFBL&#10;BQYAAAAABgAGAFkBAACMBQAAAAA=&#10;">
                      <v:fill on="f" focussize="0,0"/>
                      <v:stroke weight="0.5pt" color="#000000 [3200]" miterlimit="8" joinstyle="miter"/>
                      <v:imagedata o:title=""/>
                      <o:lock v:ext="edit" aspectratio="f"/>
                    </v:line>
                  </w:pict>
                </mc:Fallback>
              </mc:AlternateContent>
            </w:r>
            <w:r>
              <w:rPr>
                <w:b/>
                <w:bCs/>
                <w:sz w:val="24"/>
                <w:szCs w:val="24"/>
              </w:rPr>
              <w:t>项目</w:t>
            </w:r>
          </w:p>
          <w:p>
            <w:pPr>
              <w:pStyle w:val="43"/>
              <w:widowControl/>
              <w:spacing w:line="240" w:lineRule="auto"/>
              <w:ind w:firstLine="0" w:firstLineChars="0"/>
              <w:jc w:val="center"/>
              <w:rPr>
                <w:b/>
                <w:bCs/>
                <w:sz w:val="24"/>
                <w:szCs w:val="24"/>
              </w:rPr>
            </w:pPr>
          </w:p>
          <w:p>
            <w:pPr>
              <w:pStyle w:val="43"/>
              <w:widowControl/>
              <w:spacing w:line="240" w:lineRule="auto"/>
              <w:ind w:firstLine="0" w:firstLineChars="0"/>
              <w:jc w:val="both"/>
              <w:rPr>
                <w:b/>
                <w:bCs/>
                <w:sz w:val="24"/>
                <w:szCs w:val="24"/>
              </w:rPr>
            </w:pPr>
          </w:p>
          <w:p>
            <w:pPr>
              <w:pStyle w:val="43"/>
              <w:widowControl/>
              <w:spacing w:line="240" w:lineRule="auto"/>
              <w:ind w:firstLine="0" w:firstLineChars="0"/>
              <w:jc w:val="both"/>
              <w:rPr>
                <w:b/>
                <w:bCs/>
                <w:sz w:val="24"/>
                <w:szCs w:val="24"/>
              </w:rPr>
            </w:pPr>
            <w:r>
              <w:rPr>
                <w:b/>
                <w:bCs/>
                <w:sz w:val="24"/>
                <w:szCs w:val="24"/>
              </w:rPr>
              <w:t>分类</w:t>
            </w:r>
          </w:p>
        </w:tc>
        <w:tc>
          <w:tcPr>
            <w:tcW w:w="2995" w:type="dxa"/>
            <w:gridSpan w:val="2"/>
            <w:vAlign w:val="center"/>
          </w:tcPr>
          <w:p>
            <w:pPr>
              <w:pStyle w:val="43"/>
              <w:widowControl/>
              <w:spacing w:line="240" w:lineRule="auto"/>
              <w:ind w:firstLine="0" w:firstLineChars="0"/>
              <w:jc w:val="center"/>
              <w:rPr>
                <w:b/>
                <w:bCs/>
                <w:sz w:val="24"/>
                <w:szCs w:val="24"/>
              </w:rPr>
            </w:pPr>
            <w:r>
              <w:rPr>
                <w:b/>
                <w:bCs/>
                <w:sz w:val="24"/>
                <w:szCs w:val="24"/>
              </w:rPr>
              <w:t>污染物名称</w:t>
            </w:r>
          </w:p>
        </w:tc>
        <w:tc>
          <w:tcPr>
            <w:tcW w:w="1386" w:type="dxa"/>
            <w:vAlign w:val="center"/>
          </w:tcPr>
          <w:p>
            <w:pPr>
              <w:pStyle w:val="43"/>
              <w:widowControl/>
              <w:spacing w:line="240" w:lineRule="auto"/>
              <w:ind w:firstLine="0" w:firstLineChars="0"/>
              <w:jc w:val="center"/>
              <w:rPr>
                <w:b/>
                <w:bCs/>
                <w:sz w:val="24"/>
                <w:szCs w:val="24"/>
              </w:rPr>
            </w:pPr>
            <w:r>
              <w:rPr>
                <w:b/>
                <w:bCs/>
                <w:sz w:val="24"/>
                <w:szCs w:val="24"/>
              </w:rPr>
              <w:t>现有工程排放量（固体废物产生量）①</w:t>
            </w:r>
          </w:p>
        </w:tc>
        <w:tc>
          <w:tcPr>
            <w:tcW w:w="1380" w:type="dxa"/>
            <w:vAlign w:val="center"/>
          </w:tcPr>
          <w:p>
            <w:pPr>
              <w:pStyle w:val="43"/>
              <w:widowControl/>
              <w:spacing w:line="240" w:lineRule="auto"/>
              <w:ind w:firstLine="0" w:firstLineChars="0"/>
              <w:jc w:val="center"/>
              <w:rPr>
                <w:b/>
                <w:bCs/>
                <w:sz w:val="24"/>
                <w:szCs w:val="24"/>
              </w:rPr>
            </w:pPr>
            <w:r>
              <w:rPr>
                <w:b/>
                <w:bCs/>
                <w:sz w:val="24"/>
                <w:szCs w:val="24"/>
              </w:rPr>
              <w:t>现有工程许可排放量②</w:t>
            </w:r>
          </w:p>
        </w:tc>
        <w:tc>
          <w:tcPr>
            <w:tcW w:w="1386" w:type="dxa"/>
            <w:vAlign w:val="center"/>
          </w:tcPr>
          <w:p>
            <w:pPr>
              <w:pStyle w:val="43"/>
              <w:widowControl/>
              <w:spacing w:line="240" w:lineRule="auto"/>
              <w:ind w:firstLine="0" w:firstLineChars="0"/>
              <w:jc w:val="center"/>
              <w:rPr>
                <w:b/>
                <w:bCs/>
                <w:sz w:val="24"/>
                <w:szCs w:val="24"/>
              </w:rPr>
            </w:pPr>
            <w:r>
              <w:rPr>
                <w:b/>
                <w:bCs/>
                <w:sz w:val="24"/>
                <w:szCs w:val="24"/>
              </w:rPr>
              <w:t>在建工程排放量（固体废物产生量）③</w:t>
            </w:r>
          </w:p>
        </w:tc>
        <w:tc>
          <w:tcPr>
            <w:tcW w:w="1397" w:type="dxa"/>
            <w:vAlign w:val="center"/>
          </w:tcPr>
          <w:p>
            <w:pPr>
              <w:pStyle w:val="43"/>
              <w:widowControl/>
              <w:spacing w:line="240" w:lineRule="auto"/>
              <w:ind w:firstLine="0" w:firstLineChars="0"/>
              <w:jc w:val="center"/>
              <w:rPr>
                <w:b/>
                <w:bCs/>
                <w:sz w:val="24"/>
                <w:szCs w:val="24"/>
              </w:rPr>
            </w:pPr>
            <w:r>
              <w:rPr>
                <w:b/>
                <w:bCs/>
                <w:sz w:val="24"/>
                <w:szCs w:val="24"/>
              </w:rPr>
              <w:t>本项目排放量（固体废物产生量）④</w:t>
            </w:r>
          </w:p>
        </w:tc>
        <w:tc>
          <w:tcPr>
            <w:tcW w:w="1415" w:type="dxa"/>
            <w:vAlign w:val="center"/>
          </w:tcPr>
          <w:p>
            <w:pPr>
              <w:pStyle w:val="43"/>
              <w:widowControl/>
              <w:spacing w:line="240" w:lineRule="auto"/>
              <w:ind w:firstLine="0" w:firstLineChars="0"/>
              <w:jc w:val="center"/>
              <w:rPr>
                <w:b/>
                <w:bCs/>
                <w:sz w:val="24"/>
                <w:szCs w:val="24"/>
              </w:rPr>
            </w:pPr>
            <w:r>
              <w:rPr>
                <w:b/>
                <w:bCs/>
                <w:sz w:val="24"/>
                <w:szCs w:val="24"/>
              </w:rPr>
              <w:t>以新带老削减量（新建项目不填）⑤</w:t>
            </w:r>
          </w:p>
        </w:tc>
        <w:tc>
          <w:tcPr>
            <w:tcW w:w="1710" w:type="dxa"/>
            <w:vAlign w:val="center"/>
          </w:tcPr>
          <w:p>
            <w:pPr>
              <w:pStyle w:val="43"/>
              <w:widowControl/>
              <w:spacing w:line="240" w:lineRule="auto"/>
              <w:ind w:firstLine="0" w:firstLineChars="0"/>
              <w:jc w:val="center"/>
              <w:rPr>
                <w:b/>
                <w:bCs/>
                <w:sz w:val="24"/>
                <w:szCs w:val="24"/>
              </w:rPr>
            </w:pPr>
            <w:r>
              <w:rPr>
                <w:b/>
                <w:bCs/>
                <w:sz w:val="24"/>
                <w:szCs w:val="24"/>
              </w:rPr>
              <w:t>本项目建成后全厂排放量（固体废物产生量）⑥</w:t>
            </w:r>
          </w:p>
        </w:tc>
        <w:tc>
          <w:tcPr>
            <w:tcW w:w="1243" w:type="dxa"/>
            <w:vAlign w:val="center"/>
          </w:tcPr>
          <w:p>
            <w:pPr>
              <w:pStyle w:val="43"/>
              <w:widowControl/>
              <w:spacing w:line="240" w:lineRule="auto"/>
              <w:ind w:firstLine="0" w:firstLineChars="0"/>
              <w:jc w:val="center"/>
              <w:rPr>
                <w:b/>
                <w:bCs/>
                <w:sz w:val="24"/>
                <w:szCs w:val="24"/>
              </w:rPr>
            </w:pPr>
            <w:r>
              <w:rPr>
                <w:b/>
                <w:bCs/>
                <w:sz w:val="24"/>
                <w:szCs w:val="24"/>
              </w:rPr>
              <w:t>变化量⑦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1262" w:type="dxa"/>
            <w:vAlign w:val="center"/>
          </w:tcPr>
          <w:p>
            <w:pPr>
              <w:pStyle w:val="43"/>
              <w:widowControl/>
              <w:spacing w:line="240" w:lineRule="auto"/>
              <w:ind w:firstLine="0" w:firstLineChars="0"/>
              <w:jc w:val="center"/>
              <w:rPr>
                <w:sz w:val="24"/>
                <w:szCs w:val="24"/>
              </w:rPr>
            </w:pPr>
            <w:r>
              <w:rPr>
                <w:sz w:val="24"/>
                <w:szCs w:val="24"/>
              </w:rPr>
              <w:t>废气</w:t>
            </w:r>
          </w:p>
        </w:tc>
        <w:tc>
          <w:tcPr>
            <w:tcW w:w="966" w:type="dxa"/>
            <w:vAlign w:val="center"/>
          </w:tcPr>
          <w:p>
            <w:pPr>
              <w:pStyle w:val="36"/>
              <w:snapToGrid w:val="0"/>
              <w:jc w:val="center"/>
              <w:rPr>
                <w:rFonts w:ascii="Times New Roman" w:cs="Times New Roman"/>
                <w:color w:val="auto"/>
              </w:rPr>
            </w:pPr>
            <w:r>
              <w:rPr>
                <w:rFonts w:hint="eastAsia" w:ascii="Times New Roman" w:cs="Times New Roman"/>
                <w:color w:val="auto"/>
              </w:rPr>
              <w:t>无</w:t>
            </w:r>
            <w:r>
              <w:rPr>
                <w:rFonts w:ascii="Times New Roman" w:cs="Times New Roman"/>
                <w:color w:val="auto"/>
              </w:rPr>
              <w:t>组织</w:t>
            </w:r>
          </w:p>
        </w:tc>
        <w:tc>
          <w:tcPr>
            <w:tcW w:w="2029" w:type="dxa"/>
            <w:vAlign w:val="center"/>
          </w:tcPr>
          <w:p>
            <w:pPr>
              <w:pStyle w:val="36"/>
              <w:snapToGrid w:val="0"/>
              <w:jc w:val="center"/>
              <w:rPr>
                <w:rFonts w:ascii="Times New Roman" w:cs="Times New Roman"/>
                <w:color w:val="auto"/>
              </w:rPr>
            </w:pPr>
            <w:r>
              <w:rPr>
                <w:rFonts w:ascii="Times New Roman" w:cs="Times New Roman"/>
                <w:color w:val="auto"/>
              </w:rPr>
              <w:t>颗粒物</w:t>
            </w:r>
          </w:p>
        </w:tc>
        <w:tc>
          <w:tcPr>
            <w:tcW w:w="1386" w:type="dxa"/>
            <w:vAlign w:val="center"/>
          </w:tcPr>
          <w:p>
            <w:pPr>
              <w:pStyle w:val="43"/>
              <w:widowControl/>
              <w:spacing w:line="240" w:lineRule="auto"/>
              <w:ind w:firstLine="0" w:firstLineChars="0"/>
              <w:jc w:val="center"/>
              <w:rPr>
                <w:sz w:val="24"/>
                <w:szCs w:val="24"/>
              </w:rPr>
            </w:pPr>
            <w:r>
              <w:rPr>
                <w:sz w:val="24"/>
                <w:szCs w:val="24"/>
              </w:rPr>
              <w:t>/</w:t>
            </w:r>
          </w:p>
        </w:tc>
        <w:tc>
          <w:tcPr>
            <w:tcW w:w="1380" w:type="dxa"/>
            <w:vAlign w:val="center"/>
          </w:tcPr>
          <w:p>
            <w:pPr>
              <w:pStyle w:val="43"/>
              <w:widowControl/>
              <w:spacing w:line="240" w:lineRule="auto"/>
              <w:ind w:firstLine="0" w:firstLineChars="0"/>
              <w:jc w:val="center"/>
              <w:rPr>
                <w:sz w:val="24"/>
                <w:szCs w:val="24"/>
              </w:rPr>
            </w:pPr>
            <w:r>
              <w:rPr>
                <w:sz w:val="24"/>
                <w:szCs w:val="24"/>
              </w:rPr>
              <w:t>/</w:t>
            </w:r>
          </w:p>
        </w:tc>
        <w:tc>
          <w:tcPr>
            <w:tcW w:w="1386" w:type="dxa"/>
            <w:vAlign w:val="center"/>
          </w:tcPr>
          <w:p>
            <w:pPr>
              <w:pStyle w:val="43"/>
              <w:widowControl/>
              <w:spacing w:line="240" w:lineRule="auto"/>
              <w:ind w:firstLine="0" w:firstLineChars="0"/>
              <w:jc w:val="center"/>
              <w:rPr>
                <w:sz w:val="24"/>
                <w:szCs w:val="24"/>
              </w:rPr>
            </w:pPr>
            <w:r>
              <w:rPr>
                <w:sz w:val="24"/>
                <w:szCs w:val="24"/>
              </w:rPr>
              <w:t>/</w:t>
            </w:r>
          </w:p>
        </w:tc>
        <w:tc>
          <w:tcPr>
            <w:tcW w:w="1397" w:type="dxa"/>
            <w:vAlign w:val="center"/>
          </w:tcPr>
          <w:p>
            <w:pPr>
              <w:pStyle w:val="43"/>
              <w:widowControl/>
              <w:spacing w:line="240" w:lineRule="auto"/>
              <w:ind w:firstLine="0" w:firstLineChars="0"/>
              <w:jc w:val="center"/>
              <w:rPr>
                <w:sz w:val="24"/>
                <w:szCs w:val="24"/>
              </w:rPr>
            </w:pPr>
            <w:r>
              <w:rPr>
                <w:rFonts w:hint="eastAsia"/>
                <w:spacing w:val="-1"/>
                <w:sz w:val="24"/>
                <w:szCs w:val="24"/>
              </w:rPr>
              <w:t>2.9477</w:t>
            </w:r>
            <w:r>
              <w:rPr>
                <w:spacing w:val="-1"/>
                <w:sz w:val="24"/>
                <w:szCs w:val="24"/>
              </w:rPr>
              <w:t>t/a</w:t>
            </w:r>
          </w:p>
        </w:tc>
        <w:tc>
          <w:tcPr>
            <w:tcW w:w="1415" w:type="dxa"/>
            <w:vAlign w:val="center"/>
          </w:tcPr>
          <w:p>
            <w:pPr>
              <w:pStyle w:val="43"/>
              <w:widowControl/>
              <w:spacing w:line="240" w:lineRule="auto"/>
              <w:ind w:firstLine="0" w:firstLineChars="0"/>
              <w:jc w:val="center"/>
              <w:rPr>
                <w:sz w:val="24"/>
                <w:szCs w:val="24"/>
              </w:rPr>
            </w:pPr>
            <w:r>
              <w:rPr>
                <w:sz w:val="24"/>
                <w:szCs w:val="24"/>
              </w:rPr>
              <w:t>/</w:t>
            </w:r>
          </w:p>
        </w:tc>
        <w:tc>
          <w:tcPr>
            <w:tcW w:w="1710" w:type="dxa"/>
            <w:vAlign w:val="center"/>
          </w:tcPr>
          <w:p>
            <w:pPr>
              <w:widowControl/>
              <w:adjustRightInd w:val="0"/>
              <w:snapToGrid w:val="0"/>
              <w:jc w:val="center"/>
              <w:rPr>
                <w:rFonts w:ascii="Times New Roman" w:hAnsi="Times New Roman" w:eastAsia="宋体" w:cs="Times New Roman"/>
                <w:sz w:val="24"/>
              </w:rPr>
            </w:pPr>
            <w:r>
              <w:rPr>
                <w:rFonts w:hint="eastAsia" w:cs="Times New Roman"/>
                <w:spacing w:val="-1"/>
                <w:sz w:val="24"/>
              </w:rPr>
              <w:t>2.9477</w:t>
            </w:r>
            <w:r>
              <w:rPr>
                <w:rFonts w:ascii="Times New Roman" w:hAnsi="Times New Roman" w:eastAsia="宋体" w:cs="Times New Roman"/>
                <w:spacing w:val="-1"/>
                <w:sz w:val="24"/>
              </w:rPr>
              <w:t>t/a</w:t>
            </w:r>
          </w:p>
        </w:tc>
        <w:tc>
          <w:tcPr>
            <w:tcW w:w="1243" w:type="dxa"/>
            <w:vAlign w:val="center"/>
          </w:tcPr>
          <w:p>
            <w:pPr>
              <w:widowControl/>
              <w:adjustRightInd w:val="0"/>
              <w:snapToGrid w:val="0"/>
              <w:jc w:val="center"/>
              <w:rPr>
                <w:rFonts w:ascii="Times New Roman" w:hAnsi="Times New Roman" w:eastAsia="宋体" w:cs="Times New Roman"/>
                <w:sz w:val="24"/>
              </w:rPr>
            </w:pPr>
            <w:r>
              <w:rPr>
                <w:rFonts w:hint="eastAsia" w:cs="Times New Roman"/>
                <w:spacing w:val="-1"/>
                <w:sz w:val="24"/>
              </w:rPr>
              <w:t>+2.9477</w:t>
            </w:r>
            <w:r>
              <w:rPr>
                <w:rFonts w:ascii="Times New Roman" w:hAnsi="Times New Roman" w:eastAsia="宋体" w:cs="Times New Roman"/>
                <w:spacing w:val="-1"/>
                <w:sz w:val="24"/>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62" w:type="dxa"/>
            <w:vMerge w:val="restart"/>
            <w:vAlign w:val="center"/>
          </w:tcPr>
          <w:p>
            <w:pPr>
              <w:pStyle w:val="43"/>
              <w:widowControl/>
              <w:spacing w:line="240" w:lineRule="auto"/>
              <w:ind w:firstLine="0" w:firstLineChars="0"/>
              <w:jc w:val="center"/>
              <w:rPr>
                <w:sz w:val="24"/>
                <w:szCs w:val="24"/>
              </w:rPr>
            </w:pPr>
            <w:r>
              <w:rPr>
                <w:sz w:val="24"/>
                <w:szCs w:val="24"/>
              </w:rPr>
              <w:t>废水</w:t>
            </w:r>
          </w:p>
        </w:tc>
        <w:tc>
          <w:tcPr>
            <w:tcW w:w="2995" w:type="dxa"/>
            <w:gridSpan w:val="2"/>
            <w:vAlign w:val="center"/>
          </w:tcPr>
          <w:p>
            <w:pPr>
              <w:pStyle w:val="43"/>
              <w:widowControl/>
              <w:spacing w:line="240" w:lineRule="auto"/>
              <w:ind w:firstLine="0" w:firstLineChars="0"/>
              <w:jc w:val="center"/>
              <w:rPr>
                <w:sz w:val="24"/>
                <w:szCs w:val="24"/>
              </w:rPr>
            </w:pPr>
            <w:r>
              <w:rPr>
                <w:sz w:val="24"/>
                <w:szCs w:val="24"/>
              </w:rPr>
              <w:t>办公生活污水</w:t>
            </w:r>
          </w:p>
        </w:tc>
        <w:tc>
          <w:tcPr>
            <w:tcW w:w="1386" w:type="dxa"/>
            <w:vAlign w:val="center"/>
          </w:tcPr>
          <w:p>
            <w:pPr>
              <w:pStyle w:val="43"/>
              <w:widowControl/>
              <w:spacing w:line="240" w:lineRule="auto"/>
              <w:ind w:firstLine="0" w:firstLineChars="0"/>
              <w:jc w:val="center"/>
              <w:rPr>
                <w:sz w:val="24"/>
                <w:szCs w:val="24"/>
              </w:rPr>
            </w:pPr>
            <w:r>
              <w:rPr>
                <w:sz w:val="24"/>
                <w:szCs w:val="24"/>
              </w:rPr>
              <w:t>/</w:t>
            </w:r>
          </w:p>
        </w:tc>
        <w:tc>
          <w:tcPr>
            <w:tcW w:w="1380" w:type="dxa"/>
            <w:vAlign w:val="center"/>
          </w:tcPr>
          <w:p>
            <w:pPr>
              <w:pStyle w:val="43"/>
              <w:widowControl/>
              <w:spacing w:line="240" w:lineRule="auto"/>
              <w:ind w:firstLine="0" w:firstLineChars="0"/>
              <w:jc w:val="center"/>
              <w:rPr>
                <w:sz w:val="24"/>
                <w:szCs w:val="24"/>
              </w:rPr>
            </w:pPr>
            <w:r>
              <w:rPr>
                <w:sz w:val="24"/>
                <w:szCs w:val="24"/>
              </w:rPr>
              <w:t>/</w:t>
            </w:r>
          </w:p>
        </w:tc>
        <w:tc>
          <w:tcPr>
            <w:tcW w:w="1386" w:type="dxa"/>
            <w:vAlign w:val="center"/>
          </w:tcPr>
          <w:p>
            <w:pPr>
              <w:pStyle w:val="43"/>
              <w:widowControl/>
              <w:spacing w:line="240" w:lineRule="auto"/>
              <w:ind w:firstLine="0" w:firstLineChars="0"/>
              <w:jc w:val="center"/>
              <w:rPr>
                <w:sz w:val="24"/>
                <w:szCs w:val="24"/>
              </w:rPr>
            </w:pPr>
            <w:r>
              <w:rPr>
                <w:sz w:val="24"/>
                <w:szCs w:val="24"/>
              </w:rPr>
              <w:t>/</w:t>
            </w:r>
          </w:p>
        </w:tc>
        <w:tc>
          <w:tcPr>
            <w:tcW w:w="1397" w:type="dxa"/>
            <w:vAlign w:val="center"/>
          </w:tcPr>
          <w:p>
            <w:pPr>
              <w:pStyle w:val="43"/>
              <w:widowControl/>
              <w:spacing w:line="240" w:lineRule="auto"/>
              <w:ind w:firstLine="0" w:firstLineChars="0"/>
              <w:jc w:val="center"/>
              <w:rPr>
                <w:sz w:val="24"/>
                <w:szCs w:val="24"/>
              </w:rPr>
            </w:pPr>
            <w:r>
              <w:rPr>
                <w:rFonts w:hint="eastAsia"/>
                <w:sz w:val="24"/>
                <w:szCs w:val="24"/>
              </w:rPr>
              <w:t>0</w:t>
            </w:r>
          </w:p>
        </w:tc>
        <w:tc>
          <w:tcPr>
            <w:tcW w:w="1415" w:type="dxa"/>
            <w:vAlign w:val="center"/>
          </w:tcPr>
          <w:p>
            <w:pPr>
              <w:pStyle w:val="43"/>
              <w:widowControl/>
              <w:spacing w:line="240" w:lineRule="auto"/>
              <w:ind w:firstLine="0" w:firstLineChars="0"/>
              <w:jc w:val="center"/>
              <w:rPr>
                <w:sz w:val="24"/>
                <w:szCs w:val="24"/>
              </w:rPr>
            </w:pPr>
            <w:r>
              <w:rPr>
                <w:sz w:val="24"/>
                <w:szCs w:val="24"/>
              </w:rPr>
              <w:t>/</w:t>
            </w:r>
          </w:p>
        </w:tc>
        <w:tc>
          <w:tcPr>
            <w:tcW w:w="1710" w:type="dxa"/>
            <w:vAlign w:val="center"/>
          </w:tcPr>
          <w:p>
            <w:pPr>
              <w:pStyle w:val="43"/>
              <w:widowControl/>
              <w:spacing w:line="240" w:lineRule="auto"/>
              <w:ind w:firstLine="0" w:firstLineChars="0"/>
              <w:jc w:val="center"/>
              <w:rPr>
                <w:sz w:val="24"/>
                <w:szCs w:val="24"/>
              </w:rPr>
            </w:pPr>
            <w:r>
              <w:rPr>
                <w:rFonts w:hint="eastAsia"/>
                <w:sz w:val="24"/>
                <w:szCs w:val="24"/>
              </w:rPr>
              <w:t>0</w:t>
            </w:r>
          </w:p>
        </w:tc>
        <w:tc>
          <w:tcPr>
            <w:tcW w:w="1243" w:type="dxa"/>
            <w:vAlign w:val="center"/>
          </w:tcPr>
          <w:p>
            <w:pPr>
              <w:pStyle w:val="43"/>
              <w:widowControl/>
              <w:spacing w:line="240" w:lineRule="auto"/>
              <w:ind w:firstLine="0" w:firstLineChars="0"/>
              <w:jc w:val="center"/>
              <w:rPr>
                <w:sz w:val="24"/>
                <w:szCs w:val="24"/>
              </w:rPr>
            </w:pPr>
            <w:r>
              <w:rPr>
                <w:sz w:val="24"/>
                <w:szCs w:val="24"/>
              </w:rPr>
              <w:t>+</w:t>
            </w:r>
            <w:r>
              <w:rPr>
                <w:rFonts w:hint="eastAsia"/>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62" w:type="dxa"/>
            <w:vMerge w:val="continue"/>
            <w:vAlign w:val="center"/>
          </w:tcPr>
          <w:p>
            <w:pPr>
              <w:pStyle w:val="43"/>
              <w:widowControl/>
              <w:spacing w:line="240" w:lineRule="auto"/>
              <w:ind w:firstLine="0" w:firstLineChars="0"/>
              <w:jc w:val="center"/>
              <w:rPr>
                <w:sz w:val="24"/>
                <w:szCs w:val="24"/>
              </w:rPr>
            </w:pPr>
          </w:p>
        </w:tc>
        <w:tc>
          <w:tcPr>
            <w:tcW w:w="2995" w:type="dxa"/>
            <w:gridSpan w:val="2"/>
            <w:vAlign w:val="center"/>
          </w:tcPr>
          <w:p>
            <w:pPr>
              <w:pStyle w:val="43"/>
              <w:widowControl/>
              <w:spacing w:line="240" w:lineRule="auto"/>
              <w:ind w:firstLine="0" w:firstLineChars="0"/>
              <w:jc w:val="center"/>
              <w:rPr>
                <w:sz w:val="24"/>
                <w:szCs w:val="24"/>
              </w:rPr>
            </w:pPr>
            <w:r>
              <w:rPr>
                <w:rFonts w:hint="eastAsia"/>
                <w:sz w:val="24"/>
                <w:szCs w:val="24"/>
              </w:rPr>
              <w:t>生产废水</w:t>
            </w:r>
          </w:p>
        </w:tc>
        <w:tc>
          <w:tcPr>
            <w:tcW w:w="1386" w:type="dxa"/>
            <w:vAlign w:val="center"/>
          </w:tcPr>
          <w:p>
            <w:pPr>
              <w:pStyle w:val="43"/>
              <w:widowControl/>
              <w:spacing w:line="240" w:lineRule="auto"/>
              <w:ind w:firstLine="0" w:firstLineChars="0"/>
              <w:jc w:val="center"/>
              <w:rPr>
                <w:sz w:val="24"/>
                <w:szCs w:val="24"/>
              </w:rPr>
            </w:pPr>
            <w:r>
              <w:rPr>
                <w:sz w:val="24"/>
                <w:szCs w:val="24"/>
              </w:rPr>
              <w:t>/</w:t>
            </w:r>
          </w:p>
        </w:tc>
        <w:tc>
          <w:tcPr>
            <w:tcW w:w="1380" w:type="dxa"/>
            <w:vAlign w:val="center"/>
          </w:tcPr>
          <w:p>
            <w:pPr>
              <w:pStyle w:val="43"/>
              <w:widowControl/>
              <w:spacing w:line="240" w:lineRule="auto"/>
              <w:ind w:firstLine="0" w:firstLineChars="0"/>
              <w:jc w:val="center"/>
              <w:rPr>
                <w:sz w:val="24"/>
                <w:szCs w:val="24"/>
              </w:rPr>
            </w:pPr>
            <w:r>
              <w:rPr>
                <w:sz w:val="24"/>
                <w:szCs w:val="24"/>
              </w:rPr>
              <w:t>/</w:t>
            </w:r>
          </w:p>
        </w:tc>
        <w:tc>
          <w:tcPr>
            <w:tcW w:w="1386" w:type="dxa"/>
            <w:vAlign w:val="center"/>
          </w:tcPr>
          <w:p>
            <w:pPr>
              <w:pStyle w:val="43"/>
              <w:widowControl/>
              <w:spacing w:line="240" w:lineRule="auto"/>
              <w:ind w:firstLine="0" w:firstLineChars="0"/>
              <w:jc w:val="center"/>
              <w:rPr>
                <w:sz w:val="24"/>
                <w:szCs w:val="24"/>
              </w:rPr>
            </w:pPr>
            <w:r>
              <w:rPr>
                <w:sz w:val="24"/>
                <w:szCs w:val="24"/>
              </w:rPr>
              <w:t>/</w:t>
            </w:r>
          </w:p>
        </w:tc>
        <w:tc>
          <w:tcPr>
            <w:tcW w:w="1397" w:type="dxa"/>
            <w:vAlign w:val="center"/>
          </w:tcPr>
          <w:p>
            <w:pPr>
              <w:pStyle w:val="43"/>
              <w:widowControl/>
              <w:spacing w:line="240" w:lineRule="auto"/>
              <w:ind w:firstLine="0" w:firstLineChars="0"/>
              <w:jc w:val="center"/>
              <w:rPr>
                <w:sz w:val="24"/>
                <w:szCs w:val="24"/>
              </w:rPr>
            </w:pPr>
            <w:r>
              <w:rPr>
                <w:rFonts w:hint="eastAsia"/>
                <w:sz w:val="24"/>
                <w:szCs w:val="24"/>
              </w:rPr>
              <w:t>0</w:t>
            </w:r>
          </w:p>
        </w:tc>
        <w:tc>
          <w:tcPr>
            <w:tcW w:w="1415" w:type="dxa"/>
            <w:vAlign w:val="center"/>
          </w:tcPr>
          <w:p>
            <w:pPr>
              <w:pStyle w:val="43"/>
              <w:widowControl/>
              <w:spacing w:line="240" w:lineRule="auto"/>
              <w:ind w:firstLine="0" w:firstLineChars="0"/>
              <w:jc w:val="center"/>
              <w:rPr>
                <w:sz w:val="24"/>
                <w:szCs w:val="24"/>
              </w:rPr>
            </w:pPr>
            <w:r>
              <w:rPr>
                <w:sz w:val="24"/>
                <w:szCs w:val="24"/>
              </w:rPr>
              <w:t>/</w:t>
            </w:r>
          </w:p>
        </w:tc>
        <w:tc>
          <w:tcPr>
            <w:tcW w:w="1710" w:type="dxa"/>
            <w:vAlign w:val="center"/>
          </w:tcPr>
          <w:p>
            <w:pPr>
              <w:pStyle w:val="43"/>
              <w:widowControl/>
              <w:spacing w:line="240" w:lineRule="auto"/>
              <w:ind w:firstLine="0" w:firstLineChars="0"/>
              <w:jc w:val="center"/>
              <w:rPr>
                <w:sz w:val="24"/>
                <w:szCs w:val="24"/>
              </w:rPr>
            </w:pPr>
            <w:r>
              <w:rPr>
                <w:rFonts w:hint="eastAsia"/>
                <w:sz w:val="24"/>
                <w:szCs w:val="24"/>
              </w:rPr>
              <w:t>0</w:t>
            </w:r>
          </w:p>
        </w:tc>
        <w:tc>
          <w:tcPr>
            <w:tcW w:w="1243" w:type="dxa"/>
            <w:vAlign w:val="center"/>
          </w:tcPr>
          <w:p>
            <w:pPr>
              <w:pStyle w:val="43"/>
              <w:widowControl/>
              <w:spacing w:line="240" w:lineRule="auto"/>
              <w:ind w:firstLine="0" w:firstLineChars="0"/>
              <w:jc w:val="center"/>
              <w:rPr>
                <w:sz w:val="24"/>
                <w:szCs w:val="24"/>
              </w:rPr>
            </w:pPr>
            <w:r>
              <w:rPr>
                <w:sz w:val="24"/>
                <w:szCs w:val="24"/>
              </w:rPr>
              <w:t>+</w:t>
            </w:r>
            <w:r>
              <w:rPr>
                <w:rFonts w:hint="eastAsia"/>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62" w:type="dxa"/>
            <w:vMerge w:val="restart"/>
            <w:vAlign w:val="center"/>
          </w:tcPr>
          <w:p>
            <w:pPr>
              <w:pStyle w:val="43"/>
              <w:widowControl/>
              <w:spacing w:line="240" w:lineRule="auto"/>
              <w:ind w:firstLine="0" w:firstLineChars="0"/>
              <w:jc w:val="center"/>
              <w:rPr>
                <w:sz w:val="24"/>
                <w:szCs w:val="24"/>
              </w:rPr>
            </w:pPr>
            <w:r>
              <w:rPr>
                <w:sz w:val="24"/>
                <w:szCs w:val="24"/>
              </w:rPr>
              <w:t>固废</w:t>
            </w:r>
          </w:p>
        </w:tc>
        <w:tc>
          <w:tcPr>
            <w:tcW w:w="966" w:type="dxa"/>
            <w:vMerge w:val="restart"/>
            <w:vAlign w:val="center"/>
          </w:tcPr>
          <w:p>
            <w:pPr>
              <w:adjustRightInd w:val="0"/>
              <w:snapToGrid w:val="0"/>
              <w:jc w:val="center"/>
              <w:rPr>
                <w:rFonts w:ascii="Times New Roman" w:hAnsi="Times New Roman" w:eastAsia="宋体" w:cs="Times New Roman"/>
                <w:kern w:val="0"/>
                <w:sz w:val="24"/>
              </w:rPr>
            </w:pPr>
            <w:r>
              <w:rPr>
                <w:rFonts w:ascii="Times New Roman" w:hAnsi="Times New Roman" w:eastAsia="宋体" w:cs="Times New Roman"/>
                <w:kern w:val="0"/>
                <w:sz w:val="24"/>
              </w:rPr>
              <w:t>一般固废</w:t>
            </w:r>
          </w:p>
        </w:tc>
        <w:tc>
          <w:tcPr>
            <w:tcW w:w="2029" w:type="dxa"/>
            <w:vAlign w:val="center"/>
          </w:tcPr>
          <w:p>
            <w:pPr>
              <w:adjustRightInd w:val="0"/>
              <w:snapToGrid w:val="0"/>
              <w:jc w:val="center"/>
              <w:rPr>
                <w:rFonts w:ascii="Times New Roman" w:hAnsi="Times New Roman" w:eastAsia="宋体" w:cs="Times New Roman"/>
                <w:kern w:val="0"/>
                <w:sz w:val="24"/>
              </w:rPr>
            </w:pPr>
            <w:r>
              <w:rPr>
                <w:rFonts w:ascii="Times New Roman" w:hAnsi="Times New Roman" w:eastAsia="宋体" w:cs="Times New Roman"/>
                <w:kern w:val="0"/>
                <w:sz w:val="24"/>
              </w:rPr>
              <w:t>生活垃圾</w:t>
            </w:r>
          </w:p>
        </w:tc>
        <w:tc>
          <w:tcPr>
            <w:tcW w:w="1386" w:type="dxa"/>
            <w:vAlign w:val="center"/>
          </w:tcPr>
          <w:p>
            <w:pPr>
              <w:pStyle w:val="43"/>
              <w:widowControl/>
              <w:spacing w:line="240" w:lineRule="auto"/>
              <w:ind w:firstLine="0" w:firstLineChars="0"/>
              <w:jc w:val="center"/>
              <w:rPr>
                <w:sz w:val="24"/>
                <w:szCs w:val="24"/>
              </w:rPr>
            </w:pPr>
            <w:r>
              <w:rPr>
                <w:sz w:val="24"/>
                <w:szCs w:val="24"/>
              </w:rPr>
              <w:t>/</w:t>
            </w:r>
          </w:p>
        </w:tc>
        <w:tc>
          <w:tcPr>
            <w:tcW w:w="1380" w:type="dxa"/>
            <w:vAlign w:val="center"/>
          </w:tcPr>
          <w:p>
            <w:pPr>
              <w:pStyle w:val="43"/>
              <w:widowControl/>
              <w:spacing w:line="240" w:lineRule="auto"/>
              <w:ind w:firstLine="0" w:firstLineChars="0"/>
              <w:jc w:val="center"/>
              <w:rPr>
                <w:sz w:val="24"/>
                <w:szCs w:val="24"/>
              </w:rPr>
            </w:pPr>
            <w:r>
              <w:rPr>
                <w:sz w:val="24"/>
                <w:szCs w:val="24"/>
              </w:rPr>
              <w:t>/</w:t>
            </w:r>
          </w:p>
        </w:tc>
        <w:tc>
          <w:tcPr>
            <w:tcW w:w="1386" w:type="dxa"/>
            <w:vAlign w:val="center"/>
          </w:tcPr>
          <w:p>
            <w:pPr>
              <w:pStyle w:val="43"/>
              <w:widowControl/>
              <w:spacing w:line="240" w:lineRule="auto"/>
              <w:ind w:firstLine="0" w:firstLineChars="0"/>
              <w:jc w:val="center"/>
              <w:rPr>
                <w:sz w:val="24"/>
                <w:szCs w:val="24"/>
              </w:rPr>
            </w:pPr>
            <w:r>
              <w:rPr>
                <w:sz w:val="24"/>
                <w:szCs w:val="24"/>
              </w:rPr>
              <w:t>/</w:t>
            </w:r>
          </w:p>
        </w:tc>
        <w:tc>
          <w:tcPr>
            <w:tcW w:w="1397" w:type="dxa"/>
            <w:vAlign w:val="center"/>
          </w:tcPr>
          <w:p>
            <w:pPr>
              <w:adjustRightInd w:val="0"/>
              <w:snapToGrid w:val="0"/>
              <w:jc w:val="center"/>
              <w:rPr>
                <w:rFonts w:ascii="Times New Roman" w:hAnsi="Times New Roman" w:eastAsia="宋体" w:cs="Times New Roman"/>
                <w:sz w:val="24"/>
              </w:rPr>
            </w:pPr>
            <w:r>
              <w:rPr>
                <w:rFonts w:hint="eastAsia" w:ascii="Times New Roman" w:hAnsi="Times New Roman" w:eastAsia="宋体" w:cs="Times New Roman"/>
                <w:sz w:val="24"/>
              </w:rPr>
              <w:t>3</w:t>
            </w:r>
            <w:r>
              <w:rPr>
                <w:rFonts w:ascii="Times New Roman" w:hAnsi="Times New Roman" w:eastAsia="宋体" w:cs="Times New Roman"/>
                <w:sz w:val="24"/>
              </w:rPr>
              <w:t>t/a</w:t>
            </w:r>
          </w:p>
        </w:tc>
        <w:tc>
          <w:tcPr>
            <w:tcW w:w="1415" w:type="dxa"/>
            <w:vAlign w:val="center"/>
          </w:tcPr>
          <w:p>
            <w:pPr>
              <w:pStyle w:val="43"/>
              <w:widowControl/>
              <w:spacing w:line="240" w:lineRule="auto"/>
              <w:ind w:firstLine="0" w:firstLineChars="0"/>
              <w:jc w:val="center"/>
              <w:rPr>
                <w:sz w:val="24"/>
                <w:szCs w:val="24"/>
              </w:rPr>
            </w:pPr>
            <w:r>
              <w:rPr>
                <w:sz w:val="24"/>
                <w:szCs w:val="24"/>
              </w:rPr>
              <w:t>/</w:t>
            </w:r>
          </w:p>
        </w:tc>
        <w:tc>
          <w:tcPr>
            <w:tcW w:w="1710" w:type="dxa"/>
            <w:vAlign w:val="center"/>
          </w:tcPr>
          <w:p>
            <w:pPr>
              <w:adjustRightInd w:val="0"/>
              <w:snapToGrid w:val="0"/>
              <w:jc w:val="center"/>
              <w:rPr>
                <w:rFonts w:ascii="Times New Roman" w:hAnsi="Times New Roman" w:eastAsia="宋体" w:cs="Times New Roman"/>
                <w:sz w:val="24"/>
              </w:rPr>
            </w:pPr>
            <w:r>
              <w:rPr>
                <w:rFonts w:hint="eastAsia" w:ascii="Times New Roman" w:hAnsi="Times New Roman" w:eastAsia="宋体" w:cs="Times New Roman"/>
                <w:kern w:val="0"/>
                <w:sz w:val="24"/>
              </w:rPr>
              <w:t>3</w:t>
            </w:r>
            <w:r>
              <w:rPr>
                <w:rFonts w:ascii="Times New Roman" w:hAnsi="Times New Roman" w:eastAsia="宋体" w:cs="Times New Roman"/>
                <w:sz w:val="24"/>
              </w:rPr>
              <w:t>t/a</w:t>
            </w:r>
          </w:p>
        </w:tc>
        <w:tc>
          <w:tcPr>
            <w:tcW w:w="1243" w:type="dxa"/>
            <w:vAlign w:val="center"/>
          </w:tcPr>
          <w:p>
            <w:pPr>
              <w:adjustRightInd w:val="0"/>
              <w:snapToGrid w:val="0"/>
              <w:jc w:val="center"/>
              <w:rPr>
                <w:rFonts w:ascii="Times New Roman" w:hAnsi="Times New Roman" w:eastAsia="宋体" w:cs="Times New Roman"/>
                <w:sz w:val="24"/>
              </w:rPr>
            </w:pPr>
            <w:r>
              <w:rPr>
                <w:rFonts w:ascii="Times New Roman" w:hAnsi="Times New Roman" w:eastAsia="宋体" w:cs="Times New Roman"/>
                <w:kern w:val="0"/>
                <w:sz w:val="24"/>
              </w:rPr>
              <w:t>+</w:t>
            </w:r>
            <w:r>
              <w:rPr>
                <w:rFonts w:hint="eastAsia" w:ascii="Times New Roman" w:hAnsi="Times New Roman" w:eastAsia="宋体" w:cs="Times New Roman"/>
                <w:kern w:val="0"/>
                <w:sz w:val="24"/>
              </w:rPr>
              <w:t>3</w:t>
            </w:r>
            <w:r>
              <w:rPr>
                <w:rFonts w:ascii="Times New Roman" w:hAnsi="Times New Roman" w:eastAsia="宋体" w:cs="Times New Roman"/>
                <w:sz w:val="24"/>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62" w:type="dxa"/>
            <w:vMerge w:val="continue"/>
            <w:vAlign w:val="center"/>
          </w:tcPr>
          <w:p>
            <w:pPr>
              <w:pStyle w:val="43"/>
              <w:widowControl/>
              <w:spacing w:line="240" w:lineRule="auto"/>
              <w:ind w:firstLine="0" w:firstLineChars="0"/>
              <w:jc w:val="center"/>
              <w:rPr>
                <w:sz w:val="24"/>
                <w:szCs w:val="24"/>
              </w:rPr>
            </w:pPr>
          </w:p>
        </w:tc>
        <w:tc>
          <w:tcPr>
            <w:tcW w:w="966" w:type="dxa"/>
            <w:vMerge w:val="continue"/>
            <w:vAlign w:val="center"/>
          </w:tcPr>
          <w:p>
            <w:pPr>
              <w:adjustRightInd w:val="0"/>
              <w:snapToGrid w:val="0"/>
              <w:jc w:val="center"/>
              <w:rPr>
                <w:rFonts w:ascii="Times New Roman" w:hAnsi="Times New Roman" w:eastAsia="宋体" w:cs="Times New Roman"/>
                <w:kern w:val="0"/>
                <w:sz w:val="24"/>
              </w:rPr>
            </w:pPr>
          </w:p>
        </w:tc>
        <w:tc>
          <w:tcPr>
            <w:tcW w:w="2029" w:type="dxa"/>
            <w:vAlign w:val="center"/>
          </w:tcPr>
          <w:p>
            <w:pPr>
              <w:adjustRightInd w:val="0"/>
              <w:snapToGrid w:val="0"/>
              <w:jc w:val="center"/>
              <w:rPr>
                <w:rFonts w:ascii="Times New Roman" w:hAnsi="Times New Roman" w:eastAsia="宋体" w:cs="Times New Roman"/>
                <w:kern w:val="0"/>
                <w:sz w:val="24"/>
              </w:rPr>
            </w:pPr>
            <w:r>
              <w:rPr>
                <w:rFonts w:hint="eastAsia" w:ascii="Times New Roman" w:hAnsi="Times New Roman" w:eastAsia="宋体" w:cs="Times New Roman"/>
                <w:kern w:val="0"/>
                <w:sz w:val="24"/>
              </w:rPr>
              <w:t>沉淀池污泥</w:t>
            </w:r>
          </w:p>
        </w:tc>
        <w:tc>
          <w:tcPr>
            <w:tcW w:w="1386" w:type="dxa"/>
            <w:vAlign w:val="center"/>
          </w:tcPr>
          <w:p>
            <w:pPr>
              <w:pStyle w:val="43"/>
              <w:widowControl/>
              <w:spacing w:line="240" w:lineRule="auto"/>
              <w:ind w:firstLine="0" w:firstLineChars="0"/>
              <w:jc w:val="center"/>
              <w:rPr>
                <w:sz w:val="24"/>
                <w:szCs w:val="24"/>
              </w:rPr>
            </w:pPr>
            <w:r>
              <w:rPr>
                <w:sz w:val="24"/>
                <w:szCs w:val="24"/>
              </w:rPr>
              <w:t>/</w:t>
            </w:r>
          </w:p>
        </w:tc>
        <w:tc>
          <w:tcPr>
            <w:tcW w:w="1380" w:type="dxa"/>
            <w:vAlign w:val="center"/>
          </w:tcPr>
          <w:p>
            <w:pPr>
              <w:pStyle w:val="43"/>
              <w:widowControl/>
              <w:spacing w:line="240" w:lineRule="auto"/>
              <w:ind w:firstLine="0" w:firstLineChars="0"/>
              <w:jc w:val="center"/>
              <w:rPr>
                <w:sz w:val="24"/>
                <w:szCs w:val="24"/>
              </w:rPr>
            </w:pPr>
            <w:r>
              <w:rPr>
                <w:sz w:val="24"/>
                <w:szCs w:val="24"/>
              </w:rPr>
              <w:t>/</w:t>
            </w:r>
          </w:p>
        </w:tc>
        <w:tc>
          <w:tcPr>
            <w:tcW w:w="1386" w:type="dxa"/>
            <w:vAlign w:val="center"/>
          </w:tcPr>
          <w:p>
            <w:pPr>
              <w:pStyle w:val="43"/>
              <w:widowControl/>
              <w:spacing w:line="240" w:lineRule="auto"/>
              <w:ind w:firstLine="0" w:firstLineChars="0"/>
              <w:jc w:val="center"/>
              <w:rPr>
                <w:sz w:val="24"/>
                <w:szCs w:val="24"/>
              </w:rPr>
            </w:pPr>
            <w:r>
              <w:rPr>
                <w:sz w:val="24"/>
                <w:szCs w:val="24"/>
              </w:rPr>
              <w:t>/</w:t>
            </w:r>
          </w:p>
        </w:tc>
        <w:tc>
          <w:tcPr>
            <w:tcW w:w="1397" w:type="dxa"/>
            <w:vAlign w:val="center"/>
          </w:tcPr>
          <w:p>
            <w:pPr>
              <w:adjustRightInd w:val="0"/>
              <w:snapToGrid w:val="0"/>
              <w:jc w:val="center"/>
              <w:rPr>
                <w:rFonts w:ascii="Times New Roman" w:hAnsi="Times New Roman" w:eastAsia="宋体" w:cs="Times New Roman"/>
                <w:sz w:val="24"/>
              </w:rPr>
            </w:pPr>
            <w:r>
              <w:rPr>
                <w:rFonts w:hint="eastAsia" w:ascii="Times New Roman" w:hAnsi="Times New Roman" w:eastAsia="宋体" w:cs="Times New Roman"/>
                <w:sz w:val="24"/>
              </w:rPr>
              <w:t>12万</w:t>
            </w:r>
            <w:r>
              <w:rPr>
                <w:rFonts w:ascii="Times New Roman" w:hAnsi="Times New Roman" w:eastAsia="宋体" w:cs="Times New Roman"/>
                <w:sz w:val="24"/>
              </w:rPr>
              <w:t>t/a</w:t>
            </w:r>
          </w:p>
        </w:tc>
        <w:tc>
          <w:tcPr>
            <w:tcW w:w="1415" w:type="dxa"/>
            <w:vAlign w:val="center"/>
          </w:tcPr>
          <w:p>
            <w:pPr>
              <w:pStyle w:val="43"/>
              <w:widowControl/>
              <w:spacing w:line="240" w:lineRule="auto"/>
              <w:ind w:firstLine="0" w:firstLineChars="0"/>
              <w:jc w:val="center"/>
              <w:rPr>
                <w:sz w:val="24"/>
                <w:szCs w:val="24"/>
              </w:rPr>
            </w:pPr>
            <w:r>
              <w:rPr>
                <w:sz w:val="24"/>
                <w:szCs w:val="24"/>
              </w:rPr>
              <w:t>/</w:t>
            </w:r>
          </w:p>
        </w:tc>
        <w:tc>
          <w:tcPr>
            <w:tcW w:w="1710" w:type="dxa"/>
            <w:vAlign w:val="center"/>
          </w:tcPr>
          <w:p>
            <w:pPr>
              <w:adjustRightInd w:val="0"/>
              <w:snapToGrid w:val="0"/>
              <w:jc w:val="center"/>
              <w:rPr>
                <w:rFonts w:ascii="Times New Roman" w:hAnsi="Times New Roman" w:eastAsia="宋体" w:cs="Times New Roman"/>
                <w:sz w:val="24"/>
              </w:rPr>
            </w:pPr>
            <w:r>
              <w:rPr>
                <w:rFonts w:hint="eastAsia" w:ascii="Times New Roman" w:hAnsi="Times New Roman" w:eastAsia="宋体" w:cs="Times New Roman"/>
                <w:sz w:val="24"/>
              </w:rPr>
              <w:t>12万</w:t>
            </w:r>
            <w:r>
              <w:rPr>
                <w:rFonts w:ascii="Times New Roman" w:hAnsi="Times New Roman" w:eastAsia="宋体" w:cs="Times New Roman"/>
                <w:sz w:val="24"/>
              </w:rPr>
              <w:t>t/a</w:t>
            </w:r>
          </w:p>
        </w:tc>
        <w:tc>
          <w:tcPr>
            <w:tcW w:w="1243" w:type="dxa"/>
            <w:vAlign w:val="center"/>
          </w:tcPr>
          <w:p>
            <w:pPr>
              <w:adjustRightInd w:val="0"/>
              <w:snapToGrid w:val="0"/>
              <w:jc w:val="center"/>
              <w:rPr>
                <w:rFonts w:ascii="Times New Roman" w:hAnsi="Times New Roman" w:eastAsia="宋体" w:cs="Times New Roman"/>
                <w:sz w:val="24"/>
              </w:rPr>
            </w:pPr>
            <w:r>
              <w:rPr>
                <w:rFonts w:ascii="Times New Roman" w:hAnsi="Times New Roman" w:eastAsia="宋体" w:cs="Times New Roman"/>
                <w:kern w:val="0"/>
                <w:sz w:val="24"/>
              </w:rPr>
              <w:t>+</w:t>
            </w:r>
            <w:r>
              <w:rPr>
                <w:rFonts w:hint="eastAsia" w:ascii="Times New Roman" w:hAnsi="Times New Roman" w:eastAsia="宋体" w:cs="Times New Roman"/>
                <w:sz w:val="24"/>
              </w:rPr>
              <w:t>12万</w:t>
            </w:r>
            <w:r>
              <w:rPr>
                <w:rFonts w:ascii="Times New Roman" w:hAnsi="Times New Roman" w:eastAsia="宋体" w:cs="Times New Roman"/>
                <w:sz w:val="24"/>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62" w:type="dxa"/>
            <w:vMerge w:val="continue"/>
            <w:vAlign w:val="center"/>
          </w:tcPr>
          <w:p>
            <w:pPr>
              <w:pStyle w:val="43"/>
              <w:widowControl/>
              <w:spacing w:line="240" w:lineRule="auto"/>
              <w:ind w:firstLine="0" w:firstLineChars="0"/>
              <w:jc w:val="center"/>
              <w:rPr>
                <w:sz w:val="24"/>
                <w:szCs w:val="24"/>
              </w:rPr>
            </w:pPr>
            <w:bookmarkStart w:id="316" w:name="_Toc31257"/>
          </w:p>
        </w:tc>
        <w:tc>
          <w:tcPr>
            <w:tcW w:w="966" w:type="dxa"/>
            <w:vAlign w:val="center"/>
          </w:tcPr>
          <w:p>
            <w:pPr>
              <w:adjustRightInd w:val="0"/>
              <w:snapToGrid w:val="0"/>
              <w:jc w:val="center"/>
              <w:rPr>
                <w:rFonts w:ascii="Times New Roman" w:hAnsi="Times New Roman" w:eastAsia="宋体" w:cs="Times New Roman"/>
                <w:sz w:val="24"/>
              </w:rPr>
            </w:pPr>
            <w:r>
              <w:rPr>
                <w:rFonts w:ascii="Times New Roman" w:hAnsi="Times New Roman" w:eastAsia="宋体" w:cs="Times New Roman"/>
                <w:sz w:val="24"/>
              </w:rPr>
              <w:t>危险废物</w:t>
            </w:r>
          </w:p>
        </w:tc>
        <w:tc>
          <w:tcPr>
            <w:tcW w:w="2029" w:type="dxa"/>
            <w:vAlign w:val="center"/>
          </w:tcPr>
          <w:p>
            <w:pPr>
              <w:adjustRightInd w:val="0"/>
              <w:snapToGrid w:val="0"/>
              <w:jc w:val="center"/>
              <w:rPr>
                <w:rFonts w:ascii="Times New Roman" w:hAnsi="Times New Roman" w:eastAsia="宋体" w:cs="Times New Roman"/>
                <w:kern w:val="0"/>
                <w:sz w:val="24"/>
              </w:rPr>
            </w:pPr>
            <w:r>
              <w:rPr>
                <w:rFonts w:ascii="Times New Roman" w:hAnsi="Times New Roman" w:eastAsia="宋体" w:cs="Times New Roman"/>
                <w:sz w:val="24"/>
              </w:rPr>
              <w:t>废润滑油</w:t>
            </w:r>
          </w:p>
        </w:tc>
        <w:tc>
          <w:tcPr>
            <w:tcW w:w="1386" w:type="dxa"/>
            <w:vAlign w:val="center"/>
          </w:tcPr>
          <w:p>
            <w:pPr>
              <w:pStyle w:val="43"/>
              <w:widowControl/>
              <w:spacing w:line="240" w:lineRule="auto"/>
              <w:ind w:firstLine="0" w:firstLineChars="0"/>
              <w:jc w:val="center"/>
              <w:rPr>
                <w:sz w:val="24"/>
                <w:szCs w:val="24"/>
              </w:rPr>
            </w:pPr>
          </w:p>
        </w:tc>
        <w:tc>
          <w:tcPr>
            <w:tcW w:w="1380" w:type="dxa"/>
            <w:vAlign w:val="center"/>
          </w:tcPr>
          <w:p>
            <w:pPr>
              <w:pStyle w:val="43"/>
              <w:widowControl/>
              <w:spacing w:line="240" w:lineRule="auto"/>
              <w:ind w:firstLine="0" w:firstLineChars="0"/>
              <w:jc w:val="center"/>
              <w:rPr>
                <w:sz w:val="24"/>
                <w:szCs w:val="24"/>
              </w:rPr>
            </w:pPr>
          </w:p>
        </w:tc>
        <w:tc>
          <w:tcPr>
            <w:tcW w:w="1386" w:type="dxa"/>
            <w:vAlign w:val="center"/>
          </w:tcPr>
          <w:p>
            <w:pPr>
              <w:pStyle w:val="43"/>
              <w:widowControl/>
              <w:spacing w:line="240" w:lineRule="auto"/>
              <w:ind w:firstLine="0" w:firstLineChars="0"/>
              <w:jc w:val="center"/>
              <w:rPr>
                <w:sz w:val="24"/>
                <w:szCs w:val="24"/>
              </w:rPr>
            </w:pPr>
          </w:p>
        </w:tc>
        <w:tc>
          <w:tcPr>
            <w:tcW w:w="1397" w:type="dxa"/>
            <w:vAlign w:val="center"/>
          </w:tcPr>
          <w:p>
            <w:pPr>
              <w:adjustRightInd w:val="0"/>
              <w:snapToGrid w:val="0"/>
              <w:jc w:val="center"/>
              <w:rPr>
                <w:rFonts w:ascii="Times New Roman" w:hAnsi="Times New Roman" w:eastAsia="宋体" w:cs="Times New Roman"/>
                <w:kern w:val="0"/>
                <w:sz w:val="24"/>
              </w:rPr>
            </w:pPr>
            <w:r>
              <w:rPr>
                <w:rFonts w:ascii="Times New Roman" w:hAnsi="Times New Roman" w:eastAsia="宋体" w:cs="Times New Roman"/>
                <w:sz w:val="24"/>
              </w:rPr>
              <w:t>0.3t/a</w:t>
            </w:r>
          </w:p>
        </w:tc>
        <w:tc>
          <w:tcPr>
            <w:tcW w:w="1415" w:type="dxa"/>
            <w:vAlign w:val="center"/>
          </w:tcPr>
          <w:p>
            <w:pPr>
              <w:pStyle w:val="43"/>
              <w:widowControl/>
              <w:spacing w:line="240" w:lineRule="auto"/>
              <w:ind w:firstLine="0" w:firstLineChars="0"/>
              <w:jc w:val="center"/>
              <w:rPr>
                <w:sz w:val="24"/>
                <w:szCs w:val="24"/>
              </w:rPr>
            </w:pPr>
          </w:p>
        </w:tc>
        <w:tc>
          <w:tcPr>
            <w:tcW w:w="1710" w:type="dxa"/>
            <w:vAlign w:val="center"/>
          </w:tcPr>
          <w:p>
            <w:pPr>
              <w:adjustRightInd w:val="0"/>
              <w:snapToGrid w:val="0"/>
              <w:jc w:val="center"/>
              <w:rPr>
                <w:rFonts w:ascii="Times New Roman" w:hAnsi="Times New Roman" w:eastAsia="宋体" w:cs="Times New Roman"/>
                <w:kern w:val="0"/>
                <w:sz w:val="24"/>
              </w:rPr>
            </w:pPr>
            <w:r>
              <w:rPr>
                <w:rFonts w:ascii="Times New Roman" w:hAnsi="Times New Roman" w:eastAsia="宋体" w:cs="Times New Roman"/>
                <w:sz w:val="24"/>
              </w:rPr>
              <w:t>0.3t/a</w:t>
            </w:r>
          </w:p>
        </w:tc>
        <w:tc>
          <w:tcPr>
            <w:tcW w:w="1243" w:type="dxa"/>
            <w:vAlign w:val="center"/>
          </w:tcPr>
          <w:p>
            <w:pPr>
              <w:adjustRightInd w:val="0"/>
              <w:snapToGrid w:val="0"/>
              <w:jc w:val="center"/>
              <w:rPr>
                <w:rFonts w:ascii="Times New Roman" w:hAnsi="Times New Roman" w:eastAsia="宋体" w:cs="Times New Roman"/>
                <w:kern w:val="0"/>
                <w:sz w:val="24"/>
              </w:rPr>
            </w:pPr>
            <w:r>
              <w:rPr>
                <w:rFonts w:ascii="Times New Roman" w:hAnsi="Times New Roman" w:eastAsia="宋体" w:cs="Times New Roman"/>
                <w:kern w:val="0"/>
                <w:sz w:val="24"/>
              </w:rPr>
              <w:t>+</w:t>
            </w:r>
            <w:r>
              <w:rPr>
                <w:rFonts w:ascii="Times New Roman" w:hAnsi="Times New Roman" w:eastAsia="宋体" w:cs="Times New Roman"/>
                <w:sz w:val="24"/>
              </w:rPr>
              <w:t>0.3t/a</w:t>
            </w:r>
          </w:p>
        </w:tc>
      </w:tr>
    </w:tbl>
    <w:p>
      <w:pPr>
        <w:rPr>
          <w:rFonts w:ascii="Times New Roman" w:hAnsi="Times New Roman" w:eastAsia="宋体" w:cs="Times New Roman"/>
          <w:b/>
          <w:bCs/>
        </w:rPr>
      </w:pPr>
      <w:bookmarkStart w:id="317" w:name="_Toc1877"/>
      <w:r>
        <w:rPr>
          <w:rFonts w:ascii="Times New Roman" w:hAnsi="Times New Roman" w:eastAsia="宋体" w:cs="Times New Roman"/>
          <w:b/>
          <w:bCs/>
        </w:rPr>
        <w:t>注：⑥=①+③+④-⑤；⑦=⑥-①</w:t>
      </w:r>
      <w:bookmarkEnd w:id="316"/>
      <w:bookmarkEnd w:id="317"/>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方正楷体简体">
    <w:altName w:val="宋体"/>
    <w:panose1 w:val="00000000000000000000"/>
    <w:charset w:val="86"/>
    <w:family w:val="auto"/>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Helvetica">
    <w:altName w:val="Arial"/>
    <w:panose1 w:val="020B0604020202020204"/>
    <w:charset w:val="00"/>
    <w:family w:val="swiss"/>
    <w:pitch w:val="default"/>
    <w:sig w:usb0="00000000" w:usb1="00000000" w:usb2="00000009" w:usb3="00000000" w:csb0="000001FF" w:csb1="00000000"/>
  </w:font>
  <w:font w:name="TimesNewRomanPSMT">
    <w:altName w:val="Times New Roman"/>
    <w:panose1 w:val="00000000000000000000"/>
    <w:charset w:val="00"/>
    <w:family w:val="auto"/>
    <w:pitch w:val="default"/>
    <w:sig w:usb0="00000000" w:usb1="00000000" w:usb2="00000010" w:usb3="00000000" w:csb0="0006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- 19 -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KQhEw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xq5IgkumKjFdp92zPbm+IM&#10;Ys50s+Et39RIvmU+PDCHYUDBeC7hHkspDZKY3qKkMu7Lv85jPHoELyUNhiunGm+JEvleo3cADIPh&#10;BmM/GPqo7gymFe1ALcnEBRfkYJbOqM94Q6uYAy6mOTLlNAzmXegGHG+Qi9UqBWHaLAtbvbM8Qkfx&#10;vF0dAwRMukZROiV6rTBvqTP924gD/ec+RT3+D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ikIRMKwIAAFcEAAAOAAAAAAAAAAEAIAAAAB8BAABkcnMvZTJvRG9jLnhtbFBLBQYAAAAABgAG&#10;AFkBAAC8BQ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- 19 -</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EA73A5"/>
    <w:multiLevelType w:val="multilevel"/>
    <w:tmpl w:val="2FEA73A5"/>
    <w:lvl w:ilvl="0" w:tentative="0">
      <w:start w:val="1"/>
      <w:numFmt w:val="decimal"/>
      <w:isLgl/>
      <w:lvlText w:val="%1"/>
      <w:lvlJc w:val="left"/>
      <w:pPr>
        <w:tabs>
          <w:tab w:val="left" w:pos="431"/>
        </w:tabs>
        <w:ind w:left="432" w:hanging="432"/>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16"/>
        <w:szCs w:val="0"/>
        <w:u w:val="none" w:color="000000"/>
        <w:shd w:val="clear" w:color="000000" w:fill="000000"/>
        <w:vertAlign w:val="baseline"/>
        <w:lang w:val="zh-CN" w:eastAsia="zh-CN" w:bidi="zh-CN"/>
      </w:rPr>
    </w:lvl>
    <w:lvl w:ilvl="1" w:tentative="0">
      <w:start w:val="1"/>
      <w:numFmt w:val="decimal"/>
      <w:pStyle w:val="3"/>
      <w:suff w:val="space"/>
      <w:lvlText w:val="%1.%2"/>
      <w:lvlJc w:val="left"/>
      <w:pPr>
        <w:ind w:left="57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16"/>
        <w:szCs w:val="0"/>
        <w:u w:val="none" w:color="000000"/>
        <w:shd w:val="clear" w:color="000000" w:fill="000000"/>
        <w:vertAlign w:val="baseline"/>
        <w:lang w:val="zh-CN" w:eastAsia="zh-CN" w:bidi="zh-CN"/>
      </w:rPr>
    </w:lvl>
    <w:lvl w:ilvl="2" w:tentative="0">
      <w:start w:val="1"/>
      <w:numFmt w:val="decimal"/>
      <w:suff w:val="space"/>
      <w:lvlText w:val="%1.%2.%3"/>
      <w:lvlJc w:val="left"/>
      <w:pPr>
        <w:ind w:left="720"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16"/>
        <w:szCs w:val="0"/>
        <w:u w:val="none" w:color="000000"/>
        <w:shd w:val="clear" w:color="000000" w:fill="000000"/>
        <w:vertAlign w:val="baseline"/>
        <w:lang w:val="zh-CN" w:eastAsia="zh-CN" w:bidi="zh-CN"/>
      </w:rPr>
    </w:lvl>
    <w:lvl w:ilvl="3" w:tentative="0">
      <w:start w:val="1"/>
      <w:numFmt w:val="decimal"/>
      <w:suff w:val="space"/>
      <w:lvlText w:val="%1.%2.%3.%4"/>
      <w:lvlJc w:val="left"/>
      <w:pPr>
        <w:ind w:left="864" w:hanging="86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16"/>
        <w:szCs w:val="0"/>
        <w:u w:val="none" w:color="000000"/>
        <w:shd w:val="clear" w:color="000000" w:fill="000000"/>
        <w:vertAlign w:val="baseline"/>
        <w:lang w:val="zh-CN" w:eastAsia="zh-CN" w:bidi="zh-CN"/>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4ZmMyZDM3YmM1NWEwYmRjMjY3ZTQ0ZTZjOWEwMzkifQ=="/>
  </w:docVars>
  <w:rsids>
    <w:rsidRoot w:val="00172A27"/>
    <w:rsid w:val="00016824"/>
    <w:rsid w:val="00027799"/>
    <w:rsid w:val="00032E88"/>
    <w:rsid w:val="00072D84"/>
    <w:rsid w:val="00091BBC"/>
    <w:rsid w:val="000A76B4"/>
    <w:rsid w:val="000B1E4A"/>
    <w:rsid w:val="000E64A8"/>
    <w:rsid w:val="00123117"/>
    <w:rsid w:val="00150EA4"/>
    <w:rsid w:val="00154A07"/>
    <w:rsid w:val="00172A27"/>
    <w:rsid w:val="001B2E4E"/>
    <w:rsid w:val="001D2918"/>
    <w:rsid w:val="00237AD8"/>
    <w:rsid w:val="002B6E67"/>
    <w:rsid w:val="002F30A4"/>
    <w:rsid w:val="002F5C56"/>
    <w:rsid w:val="00307F61"/>
    <w:rsid w:val="00345080"/>
    <w:rsid w:val="00364467"/>
    <w:rsid w:val="0038677F"/>
    <w:rsid w:val="003A4285"/>
    <w:rsid w:val="003C2FAF"/>
    <w:rsid w:val="003E2476"/>
    <w:rsid w:val="003E5B59"/>
    <w:rsid w:val="00403923"/>
    <w:rsid w:val="0042750B"/>
    <w:rsid w:val="00452688"/>
    <w:rsid w:val="00460E4A"/>
    <w:rsid w:val="00486322"/>
    <w:rsid w:val="004C190A"/>
    <w:rsid w:val="0052363D"/>
    <w:rsid w:val="005A610F"/>
    <w:rsid w:val="00603E4B"/>
    <w:rsid w:val="006432C0"/>
    <w:rsid w:val="00660DE0"/>
    <w:rsid w:val="00692C05"/>
    <w:rsid w:val="006954B8"/>
    <w:rsid w:val="006C15B8"/>
    <w:rsid w:val="00722FDE"/>
    <w:rsid w:val="00740DE5"/>
    <w:rsid w:val="00777AB6"/>
    <w:rsid w:val="00791EE9"/>
    <w:rsid w:val="007B410C"/>
    <w:rsid w:val="0083605F"/>
    <w:rsid w:val="00854D94"/>
    <w:rsid w:val="008561B4"/>
    <w:rsid w:val="00880D79"/>
    <w:rsid w:val="008A56A6"/>
    <w:rsid w:val="008D0B41"/>
    <w:rsid w:val="00951C4E"/>
    <w:rsid w:val="00974A10"/>
    <w:rsid w:val="00995854"/>
    <w:rsid w:val="009A70B7"/>
    <w:rsid w:val="00A004BF"/>
    <w:rsid w:val="00A129A8"/>
    <w:rsid w:val="00A24623"/>
    <w:rsid w:val="00A2693C"/>
    <w:rsid w:val="00A46BCB"/>
    <w:rsid w:val="00A60251"/>
    <w:rsid w:val="00A743DB"/>
    <w:rsid w:val="00A83275"/>
    <w:rsid w:val="00AD3940"/>
    <w:rsid w:val="00AE26F9"/>
    <w:rsid w:val="00AF4E17"/>
    <w:rsid w:val="00B02479"/>
    <w:rsid w:val="00B06721"/>
    <w:rsid w:val="00B25AE0"/>
    <w:rsid w:val="00B27971"/>
    <w:rsid w:val="00B417BF"/>
    <w:rsid w:val="00B41FD4"/>
    <w:rsid w:val="00BC76CD"/>
    <w:rsid w:val="00BD08A7"/>
    <w:rsid w:val="00BE15C2"/>
    <w:rsid w:val="00C07BCE"/>
    <w:rsid w:val="00C46F04"/>
    <w:rsid w:val="00C54C5F"/>
    <w:rsid w:val="00C56640"/>
    <w:rsid w:val="00C713DD"/>
    <w:rsid w:val="00CD6C1D"/>
    <w:rsid w:val="00CE4681"/>
    <w:rsid w:val="00CE5905"/>
    <w:rsid w:val="00D2597F"/>
    <w:rsid w:val="00D54DA7"/>
    <w:rsid w:val="00D852BC"/>
    <w:rsid w:val="00DD683F"/>
    <w:rsid w:val="00E53001"/>
    <w:rsid w:val="00E87E17"/>
    <w:rsid w:val="00EA20A1"/>
    <w:rsid w:val="00F62186"/>
    <w:rsid w:val="00F71258"/>
    <w:rsid w:val="00F96CD0"/>
    <w:rsid w:val="01002E64"/>
    <w:rsid w:val="010121B4"/>
    <w:rsid w:val="0106714E"/>
    <w:rsid w:val="011A6F60"/>
    <w:rsid w:val="012A3378"/>
    <w:rsid w:val="015676BF"/>
    <w:rsid w:val="015831B2"/>
    <w:rsid w:val="015A3576"/>
    <w:rsid w:val="016A3522"/>
    <w:rsid w:val="01716365"/>
    <w:rsid w:val="017426CA"/>
    <w:rsid w:val="017A028D"/>
    <w:rsid w:val="017A5B95"/>
    <w:rsid w:val="01AC0B1B"/>
    <w:rsid w:val="01BB2C67"/>
    <w:rsid w:val="01C81F7D"/>
    <w:rsid w:val="01C95DBC"/>
    <w:rsid w:val="01CC5FC0"/>
    <w:rsid w:val="01E305A8"/>
    <w:rsid w:val="01F11ABC"/>
    <w:rsid w:val="02011A4F"/>
    <w:rsid w:val="020C4FDB"/>
    <w:rsid w:val="022B6160"/>
    <w:rsid w:val="023A4C85"/>
    <w:rsid w:val="024C6867"/>
    <w:rsid w:val="027C3559"/>
    <w:rsid w:val="028710B6"/>
    <w:rsid w:val="029209EC"/>
    <w:rsid w:val="02971350"/>
    <w:rsid w:val="029D37B8"/>
    <w:rsid w:val="02A41A90"/>
    <w:rsid w:val="02A97FD3"/>
    <w:rsid w:val="02BE4D0B"/>
    <w:rsid w:val="02C7409E"/>
    <w:rsid w:val="02D533B3"/>
    <w:rsid w:val="02D611C1"/>
    <w:rsid w:val="02DB03C2"/>
    <w:rsid w:val="02E07F7B"/>
    <w:rsid w:val="02E66684"/>
    <w:rsid w:val="02E96621"/>
    <w:rsid w:val="02F05262"/>
    <w:rsid w:val="02F3744B"/>
    <w:rsid w:val="030A1DDC"/>
    <w:rsid w:val="030E3A86"/>
    <w:rsid w:val="03116352"/>
    <w:rsid w:val="032356B1"/>
    <w:rsid w:val="03443FA8"/>
    <w:rsid w:val="03487D3A"/>
    <w:rsid w:val="03750239"/>
    <w:rsid w:val="03B42A21"/>
    <w:rsid w:val="03CC1F46"/>
    <w:rsid w:val="03DD0CD2"/>
    <w:rsid w:val="04133956"/>
    <w:rsid w:val="041B14CC"/>
    <w:rsid w:val="041C08D2"/>
    <w:rsid w:val="04202206"/>
    <w:rsid w:val="042B48F1"/>
    <w:rsid w:val="042D708C"/>
    <w:rsid w:val="043C063C"/>
    <w:rsid w:val="04485493"/>
    <w:rsid w:val="04590367"/>
    <w:rsid w:val="045D762F"/>
    <w:rsid w:val="047614DC"/>
    <w:rsid w:val="04775985"/>
    <w:rsid w:val="04A26363"/>
    <w:rsid w:val="04A628C0"/>
    <w:rsid w:val="04B04041"/>
    <w:rsid w:val="04D87D4C"/>
    <w:rsid w:val="04DE1B61"/>
    <w:rsid w:val="04E56FAB"/>
    <w:rsid w:val="05023217"/>
    <w:rsid w:val="05031CD2"/>
    <w:rsid w:val="050813A3"/>
    <w:rsid w:val="052102F4"/>
    <w:rsid w:val="05233EFD"/>
    <w:rsid w:val="05612030"/>
    <w:rsid w:val="056E13CF"/>
    <w:rsid w:val="05926DCE"/>
    <w:rsid w:val="059454B6"/>
    <w:rsid w:val="05A05083"/>
    <w:rsid w:val="05A27CA2"/>
    <w:rsid w:val="05C13D08"/>
    <w:rsid w:val="05D32A1C"/>
    <w:rsid w:val="05D51D77"/>
    <w:rsid w:val="05E200DE"/>
    <w:rsid w:val="05E7695A"/>
    <w:rsid w:val="05E84F40"/>
    <w:rsid w:val="05FF4B65"/>
    <w:rsid w:val="06034305"/>
    <w:rsid w:val="062A161F"/>
    <w:rsid w:val="062D7C32"/>
    <w:rsid w:val="06474582"/>
    <w:rsid w:val="064A704A"/>
    <w:rsid w:val="064D6E62"/>
    <w:rsid w:val="06840282"/>
    <w:rsid w:val="06AD46C7"/>
    <w:rsid w:val="06BE5E39"/>
    <w:rsid w:val="06C64AD8"/>
    <w:rsid w:val="06CB2FB4"/>
    <w:rsid w:val="06D320C8"/>
    <w:rsid w:val="06D71724"/>
    <w:rsid w:val="06DE2ECD"/>
    <w:rsid w:val="06E56F8E"/>
    <w:rsid w:val="06E91BAB"/>
    <w:rsid w:val="06F84D7D"/>
    <w:rsid w:val="07222102"/>
    <w:rsid w:val="072F21AF"/>
    <w:rsid w:val="07376785"/>
    <w:rsid w:val="07445A18"/>
    <w:rsid w:val="0748749B"/>
    <w:rsid w:val="07522A7A"/>
    <w:rsid w:val="075D6FBE"/>
    <w:rsid w:val="07696719"/>
    <w:rsid w:val="07796168"/>
    <w:rsid w:val="078665BE"/>
    <w:rsid w:val="07AA4BA0"/>
    <w:rsid w:val="07B838F4"/>
    <w:rsid w:val="07BD4904"/>
    <w:rsid w:val="07C6009B"/>
    <w:rsid w:val="07D942D7"/>
    <w:rsid w:val="07DC301B"/>
    <w:rsid w:val="07DF17F7"/>
    <w:rsid w:val="07F43C62"/>
    <w:rsid w:val="07FB011C"/>
    <w:rsid w:val="08137A69"/>
    <w:rsid w:val="083F101B"/>
    <w:rsid w:val="0874246B"/>
    <w:rsid w:val="08882F12"/>
    <w:rsid w:val="089649AF"/>
    <w:rsid w:val="0898687C"/>
    <w:rsid w:val="08C01DAD"/>
    <w:rsid w:val="08D84F22"/>
    <w:rsid w:val="08DE1E1C"/>
    <w:rsid w:val="08E978B1"/>
    <w:rsid w:val="08F566A8"/>
    <w:rsid w:val="08F71383"/>
    <w:rsid w:val="08FC4DDD"/>
    <w:rsid w:val="092258E1"/>
    <w:rsid w:val="09267233"/>
    <w:rsid w:val="092710DE"/>
    <w:rsid w:val="09511308"/>
    <w:rsid w:val="09744684"/>
    <w:rsid w:val="097D0553"/>
    <w:rsid w:val="098128A2"/>
    <w:rsid w:val="098E0742"/>
    <w:rsid w:val="09924AB7"/>
    <w:rsid w:val="09C1778E"/>
    <w:rsid w:val="09E87483"/>
    <w:rsid w:val="09EC3E56"/>
    <w:rsid w:val="09F50440"/>
    <w:rsid w:val="09FA0BED"/>
    <w:rsid w:val="09FC1411"/>
    <w:rsid w:val="0A1172C4"/>
    <w:rsid w:val="0A1B4016"/>
    <w:rsid w:val="0A34424A"/>
    <w:rsid w:val="0A3F4B73"/>
    <w:rsid w:val="0A403333"/>
    <w:rsid w:val="0A444B8A"/>
    <w:rsid w:val="0A4D54AA"/>
    <w:rsid w:val="0A6A5405"/>
    <w:rsid w:val="0A757080"/>
    <w:rsid w:val="0A7B124A"/>
    <w:rsid w:val="0A821DCB"/>
    <w:rsid w:val="0A9B0E35"/>
    <w:rsid w:val="0AA963E0"/>
    <w:rsid w:val="0ABC3969"/>
    <w:rsid w:val="0AC938B6"/>
    <w:rsid w:val="0ACD1E48"/>
    <w:rsid w:val="0AEB0D1E"/>
    <w:rsid w:val="0B096344"/>
    <w:rsid w:val="0B6B6C38"/>
    <w:rsid w:val="0B716146"/>
    <w:rsid w:val="0B7474BB"/>
    <w:rsid w:val="0B835344"/>
    <w:rsid w:val="0B9D0DC7"/>
    <w:rsid w:val="0BB2619F"/>
    <w:rsid w:val="0BB8381B"/>
    <w:rsid w:val="0BB97A31"/>
    <w:rsid w:val="0BBC48DB"/>
    <w:rsid w:val="0BC76BDF"/>
    <w:rsid w:val="0BE3070D"/>
    <w:rsid w:val="0BED101D"/>
    <w:rsid w:val="0BFA6363"/>
    <w:rsid w:val="0C020FC2"/>
    <w:rsid w:val="0C1F2AF1"/>
    <w:rsid w:val="0C323D10"/>
    <w:rsid w:val="0C352A96"/>
    <w:rsid w:val="0C3F2853"/>
    <w:rsid w:val="0C3F55A4"/>
    <w:rsid w:val="0C5E4CBA"/>
    <w:rsid w:val="0C7B5DD9"/>
    <w:rsid w:val="0C8427D5"/>
    <w:rsid w:val="0C9C014D"/>
    <w:rsid w:val="0CAB6546"/>
    <w:rsid w:val="0CB26FF6"/>
    <w:rsid w:val="0CEB5D96"/>
    <w:rsid w:val="0CF117D2"/>
    <w:rsid w:val="0CF40176"/>
    <w:rsid w:val="0D013FCF"/>
    <w:rsid w:val="0D1B3C8D"/>
    <w:rsid w:val="0D292FA3"/>
    <w:rsid w:val="0D3957CE"/>
    <w:rsid w:val="0D3A42A2"/>
    <w:rsid w:val="0D3A518C"/>
    <w:rsid w:val="0D5C6BA3"/>
    <w:rsid w:val="0D5D37FD"/>
    <w:rsid w:val="0D6D40D5"/>
    <w:rsid w:val="0D744B39"/>
    <w:rsid w:val="0D8323B8"/>
    <w:rsid w:val="0D862F95"/>
    <w:rsid w:val="0D8A5BD0"/>
    <w:rsid w:val="0DAE2303"/>
    <w:rsid w:val="0DBC0BBA"/>
    <w:rsid w:val="0DC314CC"/>
    <w:rsid w:val="0DC93384"/>
    <w:rsid w:val="0DDA2DC7"/>
    <w:rsid w:val="0DDE6612"/>
    <w:rsid w:val="0DE65621"/>
    <w:rsid w:val="0DEC4366"/>
    <w:rsid w:val="0DED3FE6"/>
    <w:rsid w:val="0DF27D84"/>
    <w:rsid w:val="0DF7498E"/>
    <w:rsid w:val="0E025A50"/>
    <w:rsid w:val="0E071816"/>
    <w:rsid w:val="0E151575"/>
    <w:rsid w:val="0E3644BE"/>
    <w:rsid w:val="0E3F056D"/>
    <w:rsid w:val="0E483A39"/>
    <w:rsid w:val="0E64669F"/>
    <w:rsid w:val="0E6827BC"/>
    <w:rsid w:val="0E825526"/>
    <w:rsid w:val="0E8611C8"/>
    <w:rsid w:val="0EAA135B"/>
    <w:rsid w:val="0ED15EB3"/>
    <w:rsid w:val="0EDB61ED"/>
    <w:rsid w:val="0EDF1602"/>
    <w:rsid w:val="0EF64818"/>
    <w:rsid w:val="0EF8359E"/>
    <w:rsid w:val="0EFA3211"/>
    <w:rsid w:val="0EFC34F7"/>
    <w:rsid w:val="0F2B5A2D"/>
    <w:rsid w:val="0F4F3779"/>
    <w:rsid w:val="0F621AE5"/>
    <w:rsid w:val="0F6A7028"/>
    <w:rsid w:val="0F90098A"/>
    <w:rsid w:val="0F963BA2"/>
    <w:rsid w:val="0F9A2DA7"/>
    <w:rsid w:val="0FA04622"/>
    <w:rsid w:val="0FA855DF"/>
    <w:rsid w:val="0FBA10DE"/>
    <w:rsid w:val="0FE01B25"/>
    <w:rsid w:val="0FE850A5"/>
    <w:rsid w:val="102F60BD"/>
    <w:rsid w:val="10300D1D"/>
    <w:rsid w:val="1030329B"/>
    <w:rsid w:val="104A1ACB"/>
    <w:rsid w:val="105948D6"/>
    <w:rsid w:val="106470E7"/>
    <w:rsid w:val="106F2A70"/>
    <w:rsid w:val="10732B14"/>
    <w:rsid w:val="10761922"/>
    <w:rsid w:val="1078200A"/>
    <w:rsid w:val="107A2D22"/>
    <w:rsid w:val="10822FC8"/>
    <w:rsid w:val="10830B27"/>
    <w:rsid w:val="10A5009F"/>
    <w:rsid w:val="10BF72B7"/>
    <w:rsid w:val="10C3082C"/>
    <w:rsid w:val="10DD5CD3"/>
    <w:rsid w:val="10E24BEF"/>
    <w:rsid w:val="10E431EE"/>
    <w:rsid w:val="11090A00"/>
    <w:rsid w:val="110E4E87"/>
    <w:rsid w:val="11115E0C"/>
    <w:rsid w:val="11156533"/>
    <w:rsid w:val="112055C4"/>
    <w:rsid w:val="114133CD"/>
    <w:rsid w:val="11854343"/>
    <w:rsid w:val="118B3557"/>
    <w:rsid w:val="11920F1F"/>
    <w:rsid w:val="119C5808"/>
    <w:rsid w:val="11B13797"/>
    <w:rsid w:val="11D241CD"/>
    <w:rsid w:val="11D80D7B"/>
    <w:rsid w:val="11D93657"/>
    <w:rsid w:val="11F36B48"/>
    <w:rsid w:val="11F8062F"/>
    <w:rsid w:val="12064359"/>
    <w:rsid w:val="121D5F84"/>
    <w:rsid w:val="12286C59"/>
    <w:rsid w:val="12386EF3"/>
    <w:rsid w:val="1250459A"/>
    <w:rsid w:val="12516798"/>
    <w:rsid w:val="125672F0"/>
    <w:rsid w:val="125E497B"/>
    <w:rsid w:val="126E269F"/>
    <w:rsid w:val="12BD714C"/>
    <w:rsid w:val="12E07B83"/>
    <w:rsid w:val="12E3738C"/>
    <w:rsid w:val="13045AED"/>
    <w:rsid w:val="13103E92"/>
    <w:rsid w:val="132B048D"/>
    <w:rsid w:val="13314A16"/>
    <w:rsid w:val="133B6B76"/>
    <w:rsid w:val="133E099F"/>
    <w:rsid w:val="133E3C29"/>
    <w:rsid w:val="134218B8"/>
    <w:rsid w:val="135505C5"/>
    <w:rsid w:val="136E540F"/>
    <w:rsid w:val="138D782A"/>
    <w:rsid w:val="13A66DE3"/>
    <w:rsid w:val="13AE7B24"/>
    <w:rsid w:val="13B36A56"/>
    <w:rsid w:val="13D9230B"/>
    <w:rsid w:val="13F04B49"/>
    <w:rsid w:val="13FA6F64"/>
    <w:rsid w:val="14011368"/>
    <w:rsid w:val="1402376B"/>
    <w:rsid w:val="140F39B6"/>
    <w:rsid w:val="14281C22"/>
    <w:rsid w:val="14293E20"/>
    <w:rsid w:val="14322531"/>
    <w:rsid w:val="14430648"/>
    <w:rsid w:val="146E5017"/>
    <w:rsid w:val="146F5526"/>
    <w:rsid w:val="1477668E"/>
    <w:rsid w:val="14971460"/>
    <w:rsid w:val="149E7662"/>
    <w:rsid w:val="14A77F72"/>
    <w:rsid w:val="14B355E2"/>
    <w:rsid w:val="14CF19C8"/>
    <w:rsid w:val="14E76B50"/>
    <w:rsid w:val="14EB4AD0"/>
    <w:rsid w:val="15027387"/>
    <w:rsid w:val="15065D8D"/>
    <w:rsid w:val="151B6C2C"/>
    <w:rsid w:val="1524753B"/>
    <w:rsid w:val="15494BE1"/>
    <w:rsid w:val="15626AB9"/>
    <w:rsid w:val="1567063D"/>
    <w:rsid w:val="15695A7C"/>
    <w:rsid w:val="156D5931"/>
    <w:rsid w:val="15913383"/>
    <w:rsid w:val="15A12050"/>
    <w:rsid w:val="15AC12AA"/>
    <w:rsid w:val="15BA1E98"/>
    <w:rsid w:val="15C44EC6"/>
    <w:rsid w:val="15D855A1"/>
    <w:rsid w:val="15D860E5"/>
    <w:rsid w:val="15DD2856"/>
    <w:rsid w:val="15F33C87"/>
    <w:rsid w:val="16391602"/>
    <w:rsid w:val="16530887"/>
    <w:rsid w:val="166E35A2"/>
    <w:rsid w:val="167C1EF1"/>
    <w:rsid w:val="16A17D2C"/>
    <w:rsid w:val="16AE0657"/>
    <w:rsid w:val="16AE28C5"/>
    <w:rsid w:val="16C60A9D"/>
    <w:rsid w:val="16D02DF8"/>
    <w:rsid w:val="16E62A1F"/>
    <w:rsid w:val="16E64F8F"/>
    <w:rsid w:val="16F41BC7"/>
    <w:rsid w:val="17025267"/>
    <w:rsid w:val="172B6934"/>
    <w:rsid w:val="172B7C90"/>
    <w:rsid w:val="17392D07"/>
    <w:rsid w:val="17580E38"/>
    <w:rsid w:val="17662E5F"/>
    <w:rsid w:val="176A2BAB"/>
    <w:rsid w:val="176B02BC"/>
    <w:rsid w:val="1796523D"/>
    <w:rsid w:val="17982843"/>
    <w:rsid w:val="17AD27E8"/>
    <w:rsid w:val="17B963A8"/>
    <w:rsid w:val="17C2562D"/>
    <w:rsid w:val="17C30244"/>
    <w:rsid w:val="17CF079E"/>
    <w:rsid w:val="17E61B0E"/>
    <w:rsid w:val="18085CA8"/>
    <w:rsid w:val="180E1588"/>
    <w:rsid w:val="181B2E1C"/>
    <w:rsid w:val="181F3A21"/>
    <w:rsid w:val="182A1DB2"/>
    <w:rsid w:val="184119D7"/>
    <w:rsid w:val="18636D79"/>
    <w:rsid w:val="189A41EE"/>
    <w:rsid w:val="18B26EF4"/>
    <w:rsid w:val="18BA5E1D"/>
    <w:rsid w:val="18C61740"/>
    <w:rsid w:val="18E16226"/>
    <w:rsid w:val="18ED5373"/>
    <w:rsid w:val="18F35A66"/>
    <w:rsid w:val="18F410B0"/>
    <w:rsid w:val="18FD779C"/>
    <w:rsid w:val="194D4181"/>
    <w:rsid w:val="196719BC"/>
    <w:rsid w:val="19684AE0"/>
    <w:rsid w:val="196B01BF"/>
    <w:rsid w:val="19794F57"/>
    <w:rsid w:val="198B5BA7"/>
    <w:rsid w:val="199175D8"/>
    <w:rsid w:val="19A06ED4"/>
    <w:rsid w:val="19A52923"/>
    <w:rsid w:val="19A70024"/>
    <w:rsid w:val="19AB482C"/>
    <w:rsid w:val="19C756B3"/>
    <w:rsid w:val="19CB4D61"/>
    <w:rsid w:val="19DF7399"/>
    <w:rsid w:val="19E478CE"/>
    <w:rsid w:val="1A156560"/>
    <w:rsid w:val="1A390B2A"/>
    <w:rsid w:val="1A403404"/>
    <w:rsid w:val="1A4E1AB7"/>
    <w:rsid w:val="1A5823C6"/>
    <w:rsid w:val="1A674BDF"/>
    <w:rsid w:val="1A7534DE"/>
    <w:rsid w:val="1A8306AD"/>
    <w:rsid w:val="1A9600C9"/>
    <w:rsid w:val="1A9A032F"/>
    <w:rsid w:val="1A9B224E"/>
    <w:rsid w:val="1AA634EC"/>
    <w:rsid w:val="1AA72763"/>
    <w:rsid w:val="1ADE3924"/>
    <w:rsid w:val="1AF914B0"/>
    <w:rsid w:val="1AFB7651"/>
    <w:rsid w:val="1AFD0AEB"/>
    <w:rsid w:val="1B017A09"/>
    <w:rsid w:val="1B0950A3"/>
    <w:rsid w:val="1B1117F5"/>
    <w:rsid w:val="1B20508D"/>
    <w:rsid w:val="1B2D36A3"/>
    <w:rsid w:val="1B526C53"/>
    <w:rsid w:val="1B9C202B"/>
    <w:rsid w:val="1B9D4C5C"/>
    <w:rsid w:val="1BB2149A"/>
    <w:rsid w:val="1BC908C3"/>
    <w:rsid w:val="1BCE05FC"/>
    <w:rsid w:val="1BF0496B"/>
    <w:rsid w:val="1C0820C9"/>
    <w:rsid w:val="1C22148C"/>
    <w:rsid w:val="1C283A01"/>
    <w:rsid w:val="1C372CA7"/>
    <w:rsid w:val="1C584285"/>
    <w:rsid w:val="1C5C1E10"/>
    <w:rsid w:val="1C990377"/>
    <w:rsid w:val="1CA20C86"/>
    <w:rsid w:val="1CA6319E"/>
    <w:rsid w:val="1CA9427F"/>
    <w:rsid w:val="1CCC1597"/>
    <w:rsid w:val="1CD6797E"/>
    <w:rsid w:val="1CFB041C"/>
    <w:rsid w:val="1D3102EB"/>
    <w:rsid w:val="1D3448DA"/>
    <w:rsid w:val="1D3B2428"/>
    <w:rsid w:val="1D3B5982"/>
    <w:rsid w:val="1D3B770E"/>
    <w:rsid w:val="1D4229A9"/>
    <w:rsid w:val="1D492719"/>
    <w:rsid w:val="1D561A2F"/>
    <w:rsid w:val="1D585177"/>
    <w:rsid w:val="1D8558D2"/>
    <w:rsid w:val="1D861171"/>
    <w:rsid w:val="1D8B59E7"/>
    <w:rsid w:val="1D9F7ABD"/>
    <w:rsid w:val="1DA06ACC"/>
    <w:rsid w:val="1DC1441B"/>
    <w:rsid w:val="1DC26B60"/>
    <w:rsid w:val="1DDD0A0E"/>
    <w:rsid w:val="1DE52597"/>
    <w:rsid w:val="1E206EF9"/>
    <w:rsid w:val="1E230FCD"/>
    <w:rsid w:val="1E397DDE"/>
    <w:rsid w:val="1E5538E2"/>
    <w:rsid w:val="1E57048B"/>
    <w:rsid w:val="1E5A17FC"/>
    <w:rsid w:val="1E72474B"/>
    <w:rsid w:val="1E8E752D"/>
    <w:rsid w:val="1E9879E3"/>
    <w:rsid w:val="1EA653A8"/>
    <w:rsid w:val="1EA96380"/>
    <w:rsid w:val="1EB01574"/>
    <w:rsid w:val="1EB5581B"/>
    <w:rsid w:val="1EC978FA"/>
    <w:rsid w:val="1ED92F13"/>
    <w:rsid w:val="1EE762FE"/>
    <w:rsid w:val="1EFD3064"/>
    <w:rsid w:val="1EFE3F24"/>
    <w:rsid w:val="1F1E6E1C"/>
    <w:rsid w:val="1F555944"/>
    <w:rsid w:val="1F653287"/>
    <w:rsid w:val="1F655E8C"/>
    <w:rsid w:val="1F67347F"/>
    <w:rsid w:val="1F9F68E3"/>
    <w:rsid w:val="1FE53362"/>
    <w:rsid w:val="1FEC17D3"/>
    <w:rsid w:val="1FF60C7E"/>
    <w:rsid w:val="200F59C8"/>
    <w:rsid w:val="20217943"/>
    <w:rsid w:val="2030319F"/>
    <w:rsid w:val="20403644"/>
    <w:rsid w:val="204A6296"/>
    <w:rsid w:val="204B1E60"/>
    <w:rsid w:val="20612581"/>
    <w:rsid w:val="206D52C2"/>
    <w:rsid w:val="209D327D"/>
    <w:rsid w:val="209D406E"/>
    <w:rsid w:val="209E2790"/>
    <w:rsid w:val="20A43EF4"/>
    <w:rsid w:val="20AA27D6"/>
    <w:rsid w:val="20CA4F49"/>
    <w:rsid w:val="20D00F64"/>
    <w:rsid w:val="20E33BE1"/>
    <w:rsid w:val="20F1259A"/>
    <w:rsid w:val="20F35F52"/>
    <w:rsid w:val="2113799A"/>
    <w:rsid w:val="211B7E42"/>
    <w:rsid w:val="211D0AE0"/>
    <w:rsid w:val="21382711"/>
    <w:rsid w:val="21527A75"/>
    <w:rsid w:val="21692A51"/>
    <w:rsid w:val="217A6C7B"/>
    <w:rsid w:val="21941476"/>
    <w:rsid w:val="21987C68"/>
    <w:rsid w:val="219D3D46"/>
    <w:rsid w:val="21B5295E"/>
    <w:rsid w:val="21B657DB"/>
    <w:rsid w:val="21BC76E5"/>
    <w:rsid w:val="21C24E71"/>
    <w:rsid w:val="21E01EA3"/>
    <w:rsid w:val="220E3F37"/>
    <w:rsid w:val="2215388A"/>
    <w:rsid w:val="2222453B"/>
    <w:rsid w:val="22266AF2"/>
    <w:rsid w:val="2233689E"/>
    <w:rsid w:val="223E5434"/>
    <w:rsid w:val="2262305C"/>
    <w:rsid w:val="22627697"/>
    <w:rsid w:val="22667B7E"/>
    <w:rsid w:val="226E2E1E"/>
    <w:rsid w:val="227A1FAC"/>
    <w:rsid w:val="227D55A4"/>
    <w:rsid w:val="228161A9"/>
    <w:rsid w:val="228274AE"/>
    <w:rsid w:val="22843EE2"/>
    <w:rsid w:val="229451CA"/>
    <w:rsid w:val="22AB3913"/>
    <w:rsid w:val="22B938E4"/>
    <w:rsid w:val="22C30F30"/>
    <w:rsid w:val="22F16334"/>
    <w:rsid w:val="22F5738F"/>
    <w:rsid w:val="22F83260"/>
    <w:rsid w:val="23046782"/>
    <w:rsid w:val="23056E31"/>
    <w:rsid w:val="2316669C"/>
    <w:rsid w:val="23216393"/>
    <w:rsid w:val="232A313F"/>
    <w:rsid w:val="233567DE"/>
    <w:rsid w:val="233825CF"/>
    <w:rsid w:val="235E1A55"/>
    <w:rsid w:val="23645678"/>
    <w:rsid w:val="23A3069B"/>
    <w:rsid w:val="23A41CC8"/>
    <w:rsid w:val="23AA4AA1"/>
    <w:rsid w:val="23B90466"/>
    <w:rsid w:val="23CB2CC8"/>
    <w:rsid w:val="23E3036F"/>
    <w:rsid w:val="23E96522"/>
    <w:rsid w:val="23F30609"/>
    <w:rsid w:val="23F6340C"/>
    <w:rsid w:val="23FC0406"/>
    <w:rsid w:val="24072B8E"/>
    <w:rsid w:val="241C39CC"/>
    <w:rsid w:val="24247284"/>
    <w:rsid w:val="2425773C"/>
    <w:rsid w:val="243F4B7D"/>
    <w:rsid w:val="24467CB3"/>
    <w:rsid w:val="24520106"/>
    <w:rsid w:val="24525164"/>
    <w:rsid w:val="24593831"/>
    <w:rsid w:val="245C482C"/>
    <w:rsid w:val="24683E4B"/>
    <w:rsid w:val="2473453C"/>
    <w:rsid w:val="2473589D"/>
    <w:rsid w:val="24751AEA"/>
    <w:rsid w:val="247F3A70"/>
    <w:rsid w:val="24974F93"/>
    <w:rsid w:val="24B42C46"/>
    <w:rsid w:val="24B8164C"/>
    <w:rsid w:val="24C74621"/>
    <w:rsid w:val="24CC4F50"/>
    <w:rsid w:val="24E770BD"/>
    <w:rsid w:val="25033939"/>
    <w:rsid w:val="25136D7E"/>
    <w:rsid w:val="25257F4E"/>
    <w:rsid w:val="254857E5"/>
    <w:rsid w:val="255400AB"/>
    <w:rsid w:val="2563583B"/>
    <w:rsid w:val="25652A69"/>
    <w:rsid w:val="256E7AF5"/>
    <w:rsid w:val="257D0110"/>
    <w:rsid w:val="25804208"/>
    <w:rsid w:val="25885620"/>
    <w:rsid w:val="25893F23"/>
    <w:rsid w:val="258C40A9"/>
    <w:rsid w:val="25B849F4"/>
    <w:rsid w:val="25C73A07"/>
    <w:rsid w:val="25F200CF"/>
    <w:rsid w:val="25F767BE"/>
    <w:rsid w:val="260E055C"/>
    <w:rsid w:val="261C1200"/>
    <w:rsid w:val="26432E5B"/>
    <w:rsid w:val="264D53E9"/>
    <w:rsid w:val="26776F53"/>
    <w:rsid w:val="26796BBD"/>
    <w:rsid w:val="26A01FD2"/>
    <w:rsid w:val="26D13B32"/>
    <w:rsid w:val="26DC75D0"/>
    <w:rsid w:val="26DF0759"/>
    <w:rsid w:val="26E26C6E"/>
    <w:rsid w:val="26E618AB"/>
    <w:rsid w:val="26EC0E98"/>
    <w:rsid w:val="26ED0B30"/>
    <w:rsid w:val="27031211"/>
    <w:rsid w:val="27055405"/>
    <w:rsid w:val="27107221"/>
    <w:rsid w:val="27615D27"/>
    <w:rsid w:val="276F5B54"/>
    <w:rsid w:val="277F2DFB"/>
    <w:rsid w:val="279B603F"/>
    <w:rsid w:val="27AC6E57"/>
    <w:rsid w:val="27BB1E89"/>
    <w:rsid w:val="27CE635B"/>
    <w:rsid w:val="27EE26EA"/>
    <w:rsid w:val="28033332"/>
    <w:rsid w:val="2806528F"/>
    <w:rsid w:val="28072C00"/>
    <w:rsid w:val="28092D77"/>
    <w:rsid w:val="281B7617"/>
    <w:rsid w:val="2826006E"/>
    <w:rsid w:val="28260DFD"/>
    <w:rsid w:val="283241C0"/>
    <w:rsid w:val="28865B09"/>
    <w:rsid w:val="28881D2F"/>
    <w:rsid w:val="288B3BD2"/>
    <w:rsid w:val="2896667F"/>
    <w:rsid w:val="28CB5728"/>
    <w:rsid w:val="28CC2DEB"/>
    <w:rsid w:val="28D82A61"/>
    <w:rsid w:val="28E02D20"/>
    <w:rsid w:val="291908FB"/>
    <w:rsid w:val="291C5607"/>
    <w:rsid w:val="291E2574"/>
    <w:rsid w:val="29292752"/>
    <w:rsid w:val="29776717"/>
    <w:rsid w:val="297D7915"/>
    <w:rsid w:val="29987CA4"/>
    <w:rsid w:val="29A77266"/>
    <w:rsid w:val="29C916E9"/>
    <w:rsid w:val="29D60CAE"/>
    <w:rsid w:val="29EF3652"/>
    <w:rsid w:val="2A000BF9"/>
    <w:rsid w:val="2A0347CF"/>
    <w:rsid w:val="2A0E7F0F"/>
    <w:rsid w:val="2A103412"/>
    <w:rsid w:val="2A3A1248"/>
    <w:rsid w:val="2A4670C1"/>
    <w:rsid w:val="2A5E1F3E"/>
    <w:rsid w:val="2A694DA5"/>
    <w:rsid w:val="2A6D31DD"/>
    <w:rsid w:val="2A8333E6"/>
    <w:rsid w:val="2A917F61"/>
    <w:rsid w:val="2AA96A88"/>
    <w:rsid w:val="2ABE5795"/>
    <w:rsid w:val="2AD06275"/>
    <w:rsid w:val="2AE92361"/>
    <w:rsid w:val="2B182F87"/>
    <w:rsid w:val="2B332270"/>
    <w:rsid w:val="2B3370B0"/>
    <w:rsid w:val="2B39007C"/>
    <w:rsid w:val="2B532F39"/>
    <w:rsid w:val="2B6E5792"/>
    <w:rsid w:val="2B754ED7"/>
    <w:rsid w:val="2B867B05"/>
    <w:rsid w:val="2BAC3083"/>
    <w:rsid w:val="2BBD28C2"/>
    <w:rsid w:val="2BBF245A"/>
    <w:rsid w:val="2BCA7E1D"/>
    <w:rsid w:val="2BCC3368"/>
    <w:rsid w:val="2BD55AFB"/>
    <w:rsid w:val="2C013BC2"/>
    <w:rsid w:val="2C054F3C"/>
    <w:rsid w:val="2C0F30AE"/>
    <w:rsid w:val="2C105C93"/>
    <w:rsid w:val="2C140718"/>
    <w:rsid w:val="2C1A7D42"/>
    <w:rsid w:val="2C22721D"/>
    <w:rsid w:val="2C320B0E"/>
    <w:rsid w:val="2C3E3EA5"/>
    <w:rsid w:val="2C4966E8"/>
    <w:rsid w:val="2C5E2BE0"/>
    <w:rsid w:val="2C724546"/>
    <w:rsid w:val="2C786F95"/>
    <w:rsid w:val="2C7D0311"/>
    <w:rsid w:val="2C814110"/>
    <w:rsid w:val="2C85553D"/>
    <w:rsid w:val="2C9021AC"/>
    <w:rsid w:val="2C9034E6"/>
    <w:rsid w:val="2CA42811"/>
    <w:rsid w:val="2CB56C2E"/>
    <w:rsid w:val="2CC04EFA"/>
    <w:rsid w:val="2CC8190D"/>
    <w:rsid w:val="2CE55AF4"/>
    <w:rsid w:val="2CEE0ADE"/>
    <w:rsid w:val="2CF653D4"/>
    <w:rsid w:val="2CFA063C"/>
    <w:rsid w:val="2D0E0BAB"/>
    <w:rsid w:val="2D10567D"/>
    <w:rsid w:val="2D1114DC"/>
    <w:rsid w:val="2D314A11"/>
    <w:rsid w:val="2D3B1623"/>
    <w:rsid w:val="2D645A08"/>
    <w:rsid w:val="2DB35787"/>
    <w:rsid w:val="2DC91ADA"/>
    <w:rsid w:val="2DDF6A2F"/>
    <w:rsid w:val="2DF44C9A"/>
    <w:rsid w:val="2DF80479"/>
    <w:rsid w:val="2DF95EFB"/>
    <w:rsid w:val="2DFF680F"/>
    <w:rsid w:val="2E0E4D2B"/>
    <w:rsid w:val="2E157DAA"/>
    <w:rsid w:val="2E3B145A"/>
    <w:rsid w:val="2E567693"/>
    <w:rsid w:val="2E6455AA"/>
    <w:rsid w:val="2E7D41CE"/>
    <w:rsid w:val="2E8A1F67"/>
    <w:rsid w:val="2EBC3A3B"/>
    <w:rsid w:val="2EBF19ED"/>
    <w:rsid w:val="2EC121E7"/>
    <w:rsid w:val="2ECA229B"/>
    <w:rsid w:val="2EEF551A"/>
    <w:rsid w:val="2F031C30"/>
    <w:rsid w:val="2F034132"/>
    <w:rsid w:val="2F0A1E8B"/>
    <w:rsid w:val="2F4561C1"/>
    <w:rsid w:val="2F4D2659"/>
    <w:rsid w:val="2F537431"/>
    <w:rsid w:val="2F644709"/>
    <w:rsid w:val="2F6624DD"/>
    <w:rsid w:val="2F6926B3"/>
    <w:rsid w:val="2F8509B5"/>
    <w:rsid w:val="2F871743"/>
    <w:rsid w:val="2F993C38"/>
    <w:rsid w:val="2FBD3444"/>
    <w:rsid w:val="2FC23F5B"/>
    <w:rsid w:val="2FD17CFF"/>
    <w:rsid w:val="2FF4738E"/>
    <w:rsid w:val="3002117C"/>
    <w:rsid w:val="30146116"/>
    <w:rsid w:val="303A1CAD"/>
    <w:rsid w:val="303A3EAC"/>
    <w:rsid w:val="30530A13"/>
    <w:rsid w:val="30550BE7"/>
    <w:rsid w:val="308B3031"/>
    <w:rsid w:val="308B470A"/>
    <w:rsid w:val="30937409"/>
    <w:rsid w:val="309D76E3"/>
    <w:rsid w:val="30AA2C5C"/>
    <w:rsid w:val="30AC51CD"/>
    <w:rsid w:val="30C4537B"/>
    <w:rsid w:val="30D93633"/>
    <w:rsid w:val="30DE720E"/>
    <w:rsid w:val="30E9384A"/>
    <w:rsid w:val="30EF3CBE"/>
    <w:rsid w:val="30F36EDD"/>
    <w:rsid w:val="30FC3F6A"/>
    <w:rsid w:val="30FF3470"/>
    <w:rsid w:val="31056DF8"/>
    <w:rsid w:val="3140165C"/>
    <w:rsid w:val="3140451D"/>
    <w:rsid w:val="31736CBB"/>
    <w:rsid w:val="317503B0"/>
    <w:rsid w:val="317A26B3"/>
    <w:rsid w:val="319438D2"/>
    <w:rsid w:val="319F5BE8"/>
    <w:rsid w:val="31B30291"/>
    <w:rsid w:val="31C71820"/>
    <w:rsid w:val="31D53C4D"/>
    <w:rsid w:val="31E34267"/>
    <w:rsid w:val="31E87409"/>
    <w:rsid w:val="321419F0"/>
    <w:rsid w:val="32141B93"/>
    <w:rsid w:val="323205BB"/>
    <w:rsid w:val="32354F6B"/>
    <w:rsid w:val="324A4F10"/>
    <w:rsid w:val="32711F35"/>
    <w:rsid w:val="327921DC"/>
    <w:rsid w:val="327F5D1A"/>
    <w:rsid w:val="3285592A"/>
    <w:rsid w:val="328624F4"/>
    <w:rsid w:val="328910DF"/>
    <w:rsid w:val="32966D4A"/>
    <w:rsid w:val="32BD6576"/>
    <w:rsid w:val="32ED7F9D"/>
    <w:rsid w:val="32F36AC6"/>
    <w:rsid w:val="33006EC0"/>
    <w:rsid w:val="33085526"/>
    <w:rsid w:val="333500A6"/>
    <w:rsid w:val="33380FCD"/>
    <w:rsid w:val="333C5811"/>
    <w:rsid w:val="33877703"/>
    <w:rsid w:val="338C7B5F"/>
    <w:rsid w:val="33BF02F5"/>
    <w:rsid w:val="33C137F8"/>
    <w:rsid w:val="33F947E3"/>
    <w:rsid w:val="3425770A"/>
    <w:rsid w:val="3427378C"/>
    <w:rsid w:val="34336FAF"/>
    <w:rsid w:val="3439473C"/>
    <w:rsid w:val="34431698"/>
    <w:rsid w:val="345509BA"/>
    <w:rsid w:val="34570F5A"/>
    <w:rsid w:val="34657F98"/>
    <w:rsid w:val="34681A08"/>
    <w:rsid w:val="34825E35"/>
    <w:rsid w:val="348370E1"/>
    <w:rsid w:val="3491047F"/>
    <w:rsid w:val="34B772AD"/>
    <w:rsid w:val="34E15658"/>
    <w:rsid w:val="34EC78AD"/>
    <w:rsid w:val="34F866A0"/>
    <w:rsid w:val="35014185"/>
    <w:rsid w:val="351B6673"/>
    <w:rsid w:val="352717D5"/>
    <w:rsid w:val="352E3D4F"/>
    <w:rsid w:val="35461BC3"/>
    <w:rsid w:val="356D12B5"/>
    <w:rsid w:val="35904B0A"/>
    <w:rsid w:val="359A6901"/>
    <w:rsid w:val="35A25D56"/>
    <w:rsid w:val="35A92762"/>
    <w:rsid w:val="35AE1D1F"/>
    <w:rsid w:val="35B877FB"/>
    <w:rsid w:val="35C50EA6"/>
    <w:rsid w:val="35F40295"/>
    <w:rsid w:val="36094FEA"/>
    <w:rsid w:val="36381C83"/>
    <w:rsid w:val="366444D7"/>
    <w:rsid w:val="366B518D"/>
    <w:rsid w:val="366F6744"/>
    <w:rsid w:val="36743E79"/>
    <w:rsid w:val="36800643"/>
    <w:rsid w:val="36A54982"/>
    <w:rsid w:val="36E87359"/>
    <w:rsid w:val="370426FE"/>
    <w:rsid w:val="371428EB"/>
    <w:rsid w:val="37314419"/>
    <w:rsid w:val="37414C2A"/>
    <w:rsid w:val="375C4E46"/>
    <w:rsid w:val="375D7384"/>
    <w:rsid w:val="376400EB"/>
    <w:rsid w:val="376A5133"/>
    <w:rsid w:val="37773B0C"/>
    <w:rsid w:val="37843EA3"/>
    <w:rsid w:val="3786549B"/>
    <w:rsid w:val="37887660"/>
    <w:rsid w:val="37A651C2"/>
    <w:rsid w:val="37AF14C7"/>
    <w:rsid w:val="37B16D92"/>
    <w:rsid w:val="37C56B6C"/>
    <w:rsid w:val="37D119C1"/>
    <w:rsid w:val="37D529A9"/>
    <w:rsid w:val="37F664A5"/>
    <w:rsid w:val="37F84D2C"/>
    <w:rsid w:val="38161218"/>
    <w:rsid w:val="383413C5"/>
    <w:rsid w:val="38362767"/>
    <w:rsid w:val="38417ADA"/>
    <w:rsid w:val="384569C5"/>
    <w:rsid w:val="385A45BA"/>
    <w:rsid w:val="38650698"/>
    <w:rsid w:val="386D1C23"/>
    <w:rsid w:val="387E40BB"/>
    <w:rsid w:val="388B3F4D"/>
    <w:rsid w:val="388D71B0"/>
    <w:rsid w:val="389E5943"/>
    <w:rsid w:val="38AC20E2"/>
    <w:rsid w:val="38B337BC"/>
    <w:rsid w:val="38B41785"/>
    <w:rsid w:val="38C500B3"/>
    <w:rsid w:val="38D47048"/>
    <w:rsid w:val="39053680"/>
    <w:rsid w:val="39091AA1"/>
    <w:rsid w:val="390C65EA"/>
    <w:rsid w:val="392711B9"/>
    <w:rsid w:val="39A23E51"/>
    <w:rsid w:val="39B861D7"/>
    <w:rsid w:val="39CB3D5D"/>
    <w:rsid w:val="39D877D4"/>
    <w:rsid w:val="39DB576E"/>
    <w:rsid w:val="39F5707E"/>
    <w:rsid w:val="3A0A70C5"/>
    <w:rsid w:val="3A231925"/>
    <w:rsid w:val="3A362390"/>
    <w:rsid w:val="3A363B94"/>
    <w:rsid w:val="3A3E5E75"/>
    <w:rsid w:val="3A6A03E3"/>
    <w:rsid w:val="3A864490"/>
    <w:rsid w:val="3AA45F5B"/>
    <w:rsid w:val="3ABB6604"/>
    <w:rsid w:val="3B003419"/>
    <w:rsid w:val="3B1C0164"/>
    <w:rsid w:val="3B22301A"/>
    <w:rsid w:val="3B28531E"/>
    <w:rsid w:val="3B4F1B6F"/>
    <w:rsid w:val="3B644D35"/>
    <w:rsid w:val="3B6A7F86"/>
    <w:rsid w:val="3B807F2C"/>
    <w:rsid w:val="3BA15EBC"/>
    <w:rsid w:val="3BA70186"/>
    <w:rsid w:val="3BB24EB0"/>
    <w:rsid w:val="3BBE7A10"/>
    <w:rsid w:val="3BCC25A9"/>
    <w:rsid w:val="3BD73815"/>
    <w:rsid w:val="3C0628EA"/>
    <w:rsid w:val="3C0A7973"/>
    <w:rsid w:val="3C1A3326"/>
    <w:rsid w:val="3C543740"/>
    <w:rsid w:val="3C6B78A2"/>
    <w:rsid w:val="3C6E4680"/>
    <w:rsid w:val="3C7052B5"/>
    <w:rsid w:val="3CBD05D0"/>
    <w:rsid w:val="3CBD31B6"/>
    <w:rsid w:val="3CC13DBB"/>
    <w:rsid w:val="3CC24A6B"/>
    <w:rsid w:val="3CE477F3"/>
    <w:rsid w:val="3CFC071D"/>
    <w:rsid w:val="3CFC6F1F"/>
    <w:rsid w:val="3CFF026F"/>
    <w:rsid w:val="3CFF129B"/>
    <w:rsid w:val="3D0E3279"/>
    <w:rsid w:val="3D176D48"/>
    <w:rsid w:val="3D1C417E"/>
    <w:rsid w:val="3D3675FD"/>
    <w:rsid w:val="3D4D5DD2"/>
    <w:rsid w:val="3D5C2749"/>
    <w:rsid w:val="3D671437"/>
    <w:rsid w:val="3D6B093F"/>
    <w:rsid w:val="3D812B5A"/>
    <w:rsid w:val="3D885BB0"/>
    <w:rsid w:val="3D8A75AD"/>
    <w:rsid w:val="3D8B1309"/>
    <w:rsid w:val="3D8D74D1"/>
    <w:rsid w:val="3D965098"/>
    <w:rsid w:val="3DA6058C"/>
    <w:rsid w:val="3DB11F6B"/>
    <w:rsid w:val="3DB25B7C"/>
    <w:rsid w:val="3DC8112B"/>
    <w:rsid w:val="3DC84FFC"/>
    <w:rsid w:val="3DE6611C"/>
    <w:rsid w:val="3DF56736"/>
    <w:rsid w:val="3DFA733B"/>
    <w:rsid w:val="3E000C68"/>
    <w:rsid w:val="3E0710DD"/>
    <w:rsid w:val="3E0C4346"/>
    <w:rsid w:val="3E116F60"/>
    <w:rsid w:val="3E331642"/>
    <w:rsid w:val="3E357A6D"/>
    <w:rsid w:val="3E3A5BA6"/>
    <w:rsid w:val="3E4D3B55"/>
    <w:rsid w:val="3E6354AD"/>
    <w:rsid w:val="3E65054E"/>
    <w:rsid w:val="3E681E33"/>
    <w:rsid w:val="3E7027FD"/>
    <w:rsid w:val="3E761C78"/>
    <w:rsid w:val="3E860224"/>
    <w:rsid w:val="3E9162FC"/>
    <w:rsid w:val="3E9213B1"/>
    <w:rsid w:val="3E944FA6"/>
    <w:rsid w:val="3EA522C1"/>
    <w:rsid w:val="3ED85D49"/>
    <w:rsid w:val="3EE45CBB"/>
    <w:rsid w:val="3F106F46"/>
    <w:rsid w:val="3F1D3C1A"/>
    <w:rsid w:val="3F34383F"/>
    <w:rsid w:val="3F416F0D"/>
    <w:rsid w:val="3F427453"/>
    <w:rsid w:val="3F525908"/>
    <w:rsid w:val="3F7D74B7"/>
    <w:rsid w:val="3F850394"/>
    <w:rsid w:val="3F8B2150"/>
    <w:rsid w:val="3F9133A5"/>
    <w:rsid w:val="3FAB42FF"/>
    <w:rsid w:val="3FAE7C86"/>
    <w:rsid w:val="4000638F"/>
    <w:rsid w:val="40035191"/>
    <w:rsid w:val="400F0985"/>
    <w:rsid w:val="400F25FB"/>
    <w:rsid w:val="406C28AA"/>
    <w:rsid w:val="407A445A"/>
    <w:rsid w:val="40890B10"/>
    <w:rsid w:val="408973F4"/>
    <w:rsid w:val="408B4E91"/>
    <w:rsid w:val="40980F08"/>
    <w:rsid w:val="40A73721"/>
    <w:rsid w:val="40AF282F"/>
    <w:rsid w:val="40B550A3"/>
    <w:rsid w:val="40B74E21"/>
    <w:rsid w:val="40C257B0"/>
    <w:rsid w:val="40D07AD9"/>
    <w:rsid w:val="40D86C6E"/>
    <w:rsid w:val="40DB2C76"/>
    <w:rsid w:val="40E137A9"/>
    <w:rsid w:val="40F27CA1"/>
    <w:rsid w:val="40FF6F13"/>
    <w:rsid w:val="411A78DE"/>
    <w:rsid w:val="412F1CA2"/>
    <w:rsid w:val="415630CD"/>
    <w:rsid w:val="41597CC1"/>
    <w:rsid w:val="416C6B92"/>
    <w:rsid w:val="41726BF5"/>
    <w:rsid w:val="41851242"/>
    <w:rsid w:val="4197145E"/>
    <w:rsid w:val="41AD2FCF"/>
    <w:rsid w:val="41D419EA"/>
    <w:rsid w:val="41FA784B"/>
    <w:rsid w:val="4209269E"/>
    <w:rsid w:val="420C1F56"/>
    <w:rsid w:val="421C39E4"/>
    <w:rsid w:val="4223355B"/>
    <w:rsid w:val="423837C2"/>
    <w:rsid w:val="423E06C0"/>
    <w:rsid w:val="426B4687"/>
    <w:rsid w:val="426C4F4A"/>
    <w:rsid w:val="426E780A"/>
    <w:rsid w:val="427B4921"/>
    <w:rsid w:val="42860734"/>
    <w:rsid w:val="42862AF1"/>
    <w:rsid w:val="42891BE5"/>
    <w:rsid w:val="428D1681"/>
    <w:rsid w:val="42B02412"/>
    <w:rsid w:val="42B05345"/>
    <w:rsid w:val="42BC2329"/>
    <w:rsid w:val="42CD2D7F"/>
    <w:rsid w:val="42E0132F"/>
    <w:rsid w:val="42F00D2B"/>
    <w:rsid w:val="4308131B"/>
    <w:rsid w:val="435251F9"/>
    <w:rsid w:val="435C3C0F"/>
    <w:rsid w:val="435D76DC"/>
    <w:rsid w:val="43652656"/>
    <w:rsid w:val="43652D16"/>
    <w:rsid w:val="437C4D0F"/>
    <w:rsid w:val="43804CEF"/>
    <w:rsid w:val="43853221"/>
    <w:rsid w:val="43C5363E"/>
    <w:rsid w:val="43CA5032"/>
    <w:rsid w:val="43DC362F"/>
    <w:rsid w:val="43EC14AE"/>
    <w:rsid w:val="444739DD"/>
    <w:rsid w:val="44513222"/>
    <w:rsid w:val="445F383D"/>
    <w:rsid w:val="446F27D2"/>
    <w:rsid w:val="446F6056"/>
    <w:rsid w:val="44786965"/>
    <w:rsid w:val="448C5593"/>
    <w:rsid w:val="44902108"/>
    <w:rsid w:val="449A12BB"/>
    <w:rsid w:val="44A44A8A"/>
    <w:rsid w:val="44A4522B"/>
    <w:rsid w:val="44A66E43"/>
    <w:rsid w:val="44C43561"/>
    <w:rsid w:val="44EF1E27"/>
    <w:rsid w:val="450A641A"/>
    <w:rsid w:val="450B6E9E"/>
    <w:rsid w:val="451F3479"/>
    <w:rsid w:val="45322EA1"/>
    <w:rsid w:val="453E0FB1"/>
    <w:rsid w:val="45895C00"/>
    <w:rsid w:val="458E2C2A"/>
    <w:rsid w:val="459C3244"/>
    <w:rsid w:val="45C873BF"/>
    <w:rsid w:val="45E14C32"/>
    <w:rsid w:val="46094654"/>
    <w:rsid w:val="46144188"/>
    <w:rsid w:val="462A3991"/>
    <w:rsid w:val="46366558"/>
    <w:rsid w:val="46582E6F"/>
    <w:rsid w:val="46597C64"/>
    <w:rsid w:val="46610A04"/>
    <w:rsid w:val="466F101E"/>
    <w:rsid w:val="46821188"/>
    <w:rsid w:val="468D4D4B"/>
    <w:rsid w:val="46936C54"/>
    <w:rsid w:val="469C1173"/>
    <w:rsid w:val="469C74B2"/>
    <w:rsid w:val="46B55209"/>
    <w:rsid w:val="46B92717"/>
    <w:rsid w:val="46C02B71"/>
    <w:rsid w:val="46D42F41"/>
    <w:rsid w:val="46FA346D"/>
    <w:rsid w:val="47882D75"/>
    <w:rsid w:val="47992416"/>
    <w:rsid w:val="47A333B1"/>
    <w:rsid w:val="47B63534"/>
    <w:rsid w:val="47BD0083"/>
    <w:rsid w:val="47DC1BC1"/>
    <w:rsid w:val="47E50732"/>
    <w:rsid w:val="47F23719"/>
    <w:rsid w:val="48096C2B"/>
    <w:rsid w:val="480B24F3"/>
    <w:rsid w:val="4812498A"/>
    <w:rsid w:val="483D773B"/>
    <w:rsid w:val="48536C35"/>
    <w:rsid w:val="485C2EDB"/>
    <w:rsid w:val="486221F2"/>
    <w:rsid w:val="48697992"/>
    <w:rsid w:val="486D741E"/>
    <w:rsid w:val="48821AA5"/>
    <w:rsid w:val="48DD0D98"/>
    <w:rsid w:val="48E9042E"/>
    <w:rsid w:val="48EB3931"/>
    <w:rsid w:val="48F2330F"/>
    <w:rsid w:val="491B6A88"/>
    <w:rsid w:val="492D7C1D"/>
    <w:rsid w:val="49342FAC"/>
    <w:rsid w:val="49765097"/>
    <w:rsid w:val="49987EE1"/>
    <w:rsid w:val="499F3226"/>
    <w:rsid w:val="49B45578"/>
    <w:rsid w:val="49C51F02"/>
    <w:rsid w:val="49D94158"/>
    <w:rsid w:val="49E728CF"/>
    <w:rsid w:val="4A085002"/>
    <w:rsid w:val="4A0D148A"/>
    <w:rsid w:val="4A123330"/>
    <w:rsid w:val="4A16163A"/>
    <w:rsid w:val="4A1B7BCF"/>
    <w:rsid w:val="4A21012A"/>
    <w:rsid w:val="4A22142F"/>
    <w:rsid w:val="4A2D296A"/>
    <w:rsid w:val="4A704CE5"/>
    <w:rsid w:val="4A87651E"/>
    <w:rsid w:val="4AAA4C1D"/>
    <w:rsid w:val="4AD02540"/>
    <w:rsid w:val="4AD467B1"/>
    <w:rsid w:val="4ADA36AC"/>
    <w:rsid w:val="4ADB22FE"/>
    <w:rsid w:val="4AE6781E"/>
    <w:rsid w:val="4AEF1A7C"/>
    <w:rsid w:val="4B05096B"/>
    <w:rsid w:val="4B0A77F1"/>
    <w:rsid w:val="4B2A63DE"/>
    <w:rsid w:val="4B36751C"/>
    <w:rsid w:val="4B372EF1"/>
    <w:rsid w:val="4B4340EE"/>
    <w:rsid w:val="4B541D7F"/>
    <w:rsid w:val="4B621DBB"/>
    <w:rsid w:val="4B651E3C"/>
    <w:rsid w:val="4B663A9F"/>
    <w:rsid w:val="4B696B2A"/>
    <w:rsid w:val="4B6E31F8"/>
    <w:rsid w:val="4B7145D4"/>
    <w:rsid w:val="4B835265"/>
    <w:rsid w:val="4B851970"/>
    <w:rsid w:val="4B8F3B84"/>
    <w:rsid w:val="4BC92468"/>
    <w:rsid w:val="4BCB6AC3"/>
    <w:rsid w:val="4BDB27A9"/>
    <w:rsid w:val="4BE41B3E"/>
    <w:rsid w:val="4BED3F1E"/>
    <w:rsid w:val="4BEF4EA2"/>
    <w:rsid w:val="4BF2220C"/>
    <w:rsid w:val="4BF8453E"/>
    <w:rsid w:val="4BFA3182"/>
    <w:rsid w:val="4BFF2F3E"/>
    <w:rsid w:val="4C09384E"/>
    <w:rsid w:val="4C1967B1"/>
    <w:rsid w:val="4C1D0320"/>
    <w:rsid w:val="4C27694A"/>
    <w:rsid w:val="4C455B5A"/>
    <w:rsid w:val="4C4B55BC"/>
    <w:rsid w:val="4C6166D7"/>
    <w:rsid w:val="4C683867"/>
    <w:rsid w:val="4C833DDB"/>
    <w:rsid w:val="4C8F3727"/>
    <w:rsid w:val="4C9021A0"/>
    <w:rsid w:val="4C9568A2"/>
    <w:rsid w:val="4CA22737"/>
    <w:rsid w:val="4CBA2296"/>
    <w:rsid w:val="4CC01CF8"/>
    <w:rsid w:val="4CDC648E"/>
    <w:rsid w:val="4CDD0229"/>
    <w:rsid w:val="4CDF2B58"/>
    <w:rsid w:val="4CED7116"/>
    <w:rsid w:val="4CFE7DDD"/>
    <w:rsid w:val="4D0E5590"/>
    <w:rsid w:val="4D171FA0"/>
    <w:rsid w:val="4D175F8A"/>
    <w:rsid w:val="4D20055C"/>
    <w:rsid w:val="4D2D012D"/>
    <w:rsid w:val="4D2D4853"/>
    <w:rsid w:val="4D3C2FCF"/>
    <w:rsid w:val="4D686C8D"/>
    <w:rsid w:val="4D8919C1"/>
    <w:rsid w:val="4D8A5313"/>
    <w:rsid w:val="4DA14869"/>
    <w:rsid w:val="4DA17121"/>
    <w:rsid w:val="4DB15566"/>
    <w:rsid w:val="4DB25E5E"/>
    <w:rsid w:val="4DCB05C6"/>
    <w:rsid w:val="4DF274A0"/>
    <w:rsid w:val="4DF27F8A"/>
    <w:rsid w:val="4DF420F5"/>
    <w:rsid w:val="4DFE4ACC"/>
    <w:rsid w:val="4E03516C"/>
    <w:rsid w:val="4E2050A6"/>
    <w:rsid w:val="4E2B47CD"/>
    <w:rsid w:val="4E2E0156"/>
    <w:rsid w:val="4E310BEF"/>
    <w:rsid w:val="4E4D5283"/>
    <w:rsid w:val="4E4F3708"/>
    <w:rsid w:val="4E5821A6"/>
    <w:rsid w:val="4E594017"/>
    <w:rsid w:val="4E63559A"/>
    <w:rsid w:val="4E7D54D1"/>
    <w:rsid w:val="4E7E7EC6"/>
    <w:rsid w:val="4E8B3FB7"/>
    <w:rsid w:val="4E9C6A5D"/>
    <w:rsid w:val="4E9D1289"/>
    <w:rsid w:val="4EAB059E"/>
    <w:rsid w:val="4EAC16DF"/>
    <w:rsid w:val="4EB608FC"/>
    <w:rsid w:val="4EDF75E8"/>
    <w:rsid w:val="4EF16DED"/>
    <w:rsid w:val="4F1521CC"/>
    <w:rsid w:val="4F3E30F0"/>
    <w:rsid w:val="4F400A92"/>
    <w:rsid w:val="4F454019"/>
    <w:rsid w:val="4F576615"/>
    <w:rsid w:val="4F591EB7"/>
    <w:rsid w:val="4F685821"/>
    <w:rsid w:val="4F6B136B"/>
    <w:rsid w:val="4F6D031B"/>
    <w:rsid w:val="4FAB096C"/>
    <w:rsid w:val="4FC15B53"/>
    <w:rsid w:val="4FCF5B2A"/>
    <w:rsid w:val="4FD25E02"/>
    <w:rsid w:val="4FF25FAE"/>
    <w:rsid w:val="4FF727BF"/>
    <w:rsid w:val="5002245E"/>
    <w:rsid w:val="500E0806"/>
    <w:rsid w:val="505179D5"/>
    <w:rsid w:val="505A2863"/>
    <w:rsid w:val="50847E24"/>
    <w:rsid w:val="50E56C44"/>
    <w:rsid w:val="510164F4"/>
    <w:rsid w:val="510464D3"/>
    <w:rsid w:val="51145515"/>
    <w:rsid w:val="51305F0E"/>
    <w:rsid w:val="51413D58"/>
    <w:rsid w:val="51440DC5"/>
    <w:rsid w:val="51687944"/>
    <w:rsid w:val="518D60D8"/>
    <w:rsid w:val="51A4438A"/>
    <w:rsid w:val="51A90C7D"/>
    <w:rsid w:val="51BC634E"/>
    <w:rsid w:val="51CF7E46"/>
    <w:rsid w:val="520479BF"/>
    <w:rsid w:val="521340B3"/>
    <w:rsid w:val="52221E4F"/>
    <w:rsid w:val="52355C79"/>
    <w:rsid w:val="523A18EA"/>
    <w:rsid w:val="5252553E"/>
    <w:rsid w:val="52566E26"/>
    <w:rsid w:val="526D6DE2"/>
    <w:rsid w:val="52724826"/>
    <w:rsid w:val="52971484"/>
    <w:rsid w:val="52AB73ED"/>
    <w:rsid w:val="52BB7DC1"/>
    <w:rsid w:val="52CC0273"/>
    <w:rsid w:val="52CE22A3"/>
    <w:rsid w:val="52D22D53"/>
    <w:rsid w:val="52D72442"/>
    <w:rsid w:val="52EF249C"/>
    <w:rsid w:val="52F001B2"/>
    <w:rsid w:val="52F0652B"/>
    <w:rsid w:val="53106254"/>
    <w:rsid w:val="53182993"/>
    <w:rsid w:val="531F3914"/>
    <w:rsid w:val="531F71AD"/>
    <w:rsid w:val="534310B4"/>
    <w:rsid w:val="535F6294"/>
    <w:rsid w:val="5368522F"/>
    <w:rsid w:val="536C6C1B"/>
    <w:rsid w:val="537C1FD8"/>
    <w:rsid w:val="537C6C08"/>
    <w:rsid w:val="53816CC0"/>
    <w:rsid w:val="5389269B"/>
    <w:rsid w:val="538A7AAC"/>
    <w:rsid w:val="538F1A55"/>
    <w:rsid w:val="539A6875"/>
    <w:rsid w:val="539B6326"/>
    <w:rsid w:val="53DE69AE"/>
    <w:rsid w:val="54051FE4"/>
    <w:rsid w:val="540867EC"/>
    <w:rsid w:val="54176467"/>
    <w:rsid w:val="541D768B"/>
    <w:rsid w:val="5425130E"/>
    <w:rsid w:val="545F13F9"/>
    <w:rsid w:val="54A130A1"/>
    <w:rsid w:val="54A93C01"/>
    <w:rsid w:val="54BD1793"/>
    <w:rsid w:val="54C77FF5"/>
    <w:rsid w:val="54EF3267"/>
    <w:rsid w:val="55031F07"/>
    <w:rsid w:val="551E0533"/>
    <w:rsid w:val="554177EE"/>
    <w:rsid w:val="554A267C"/>
    <w:rsid w:val="555B2EF8"/>
    <w:rsid w:val="55617F2F"/>
    <w:rsid w:val="55777CC8"/>
    <w:rsid w:val="5589607D"/>
    <w:rsid w:val="55924AA3"/>
    <w:rsid w:val="55AD6B1D"/>
    <w:rsid w:val="55AF7E22"/>
    <w:rsid w:val="55BE2203"/>
    <w:rsid w:val="55D63DB0"/>
    <w:rsid w:val="55E17329"/>
    <w:rsid w:val="55F0088B"/>
    <w:rsid w:val="56054FAD"/>
    <w:rsid w:val="560E78DF"/>
    <w:rsid w:val="561A74D1"/>
    <w:rsid w:val="562F72B9"/>
    <w:rsid w:val="56302302"/>
    <w:rsid w:val="563B7B05"/>
    <w:rsid w:val="56405192"/>
    <w:rsid w:val="56467BBE"/>
    <w:rsid w:val="565B09EA"/>
    <w:rsid w:val="56830672"/>
    <w:rsid w:val="56850D7E"/>
    <w:rsid w:val="56931435"/>
    <w:rsid w:val="569B0D24"/>
    <w:rsid w:val="569D42C9"/>
    <w:rsid w:val="56A93273"/>
    <w:rsid w:val="56B32093"/>
    <w:rsid w:val="56CA2991"/>
    <w:rsid w:val="56D62645"/>
    <w:rsid w:val="56D62E29"/>
    <w:rsid w:val="56DB758F"/>
    <w:rsid w:val="56E94079"/>
    <w:rsid w:val="57096DD9"/>
    <w:rsid w:val="570F4566"/>
    <w:rsid w:val="5713527A"/>
    <w:rsid w:val="57307452"/>
    <w:rsid w:val="57411DDB"/>
    <w:rsid w:val="57454F3C"/>
    <w:rsid w:val="57522C97"/>
    <w:rsid w:val="57687036"/>
    <w:rsid w:val="57746489"/>
    <w:rsid w:val="57997B3B"/>
    <w:rsid w:val="57C03085"/>
    <w:rsid w:val="57E53CC2"/>
    <w:rsid w:val="57F542ED"/>
    <w:rsid w:val="580F1057"/>
    <w:rsid w:val="583F13D4"/>
    <w:rsid w:val="5843365E"/>
    <w:rsid w:val="58576A7B"/>
    <w:rsid w:val="585B25B6"/>
    <w:rsid w:val="58641614"/>
    <w:rsid w:val="586D6AC3"/>
    <w:rsid w:val="58743E2D"/>
    <w:rsid w:val="587A16DC"/>
    <w:rsid w:val="588178DD"/>
    <w:rsid w:val="588C1B0D"/>
    <w:rsid w:val="58B22004"/>
    <w:rsid w:val="58C61019"/>
    <w:rsid w:val="58D948ED"/>
    <w:rsid w:val="58DB6CD4"/>
    <w:rsid w:val="58EE002B"/>
    <w:rsid w:val="5904473C"/>
    <w:rsid w:val="591A7E3E"/>
    <w:rsid w:val="593A1E81"/>
    <w:rsid w:val="593C03CE"/>
    <w:rsid w:val="594B2192"/>
    <w:rsid w:val="59603129"/>
    <w:rsid w:val="596264CA"/>
    <w:rsid w:val="59635CB4"/>
    <w:rsid w:val="59732FBD"/>
    <w:rsid w:val="5973302A"/>
    <w:rsid w:val="597573CB"/>
    <w:rsid w:val="597A115C"/>
    <w:rsid w:val="597D24C5"/>
    <w:rsid w:val="59954CBE"/>
    <w:rsid w:val="59A12974"/>
    <w:rsid w:val="59AF6CF7"/>
    <w:rsid w:val="59B6573E"/>
    <w:rsid w:val="59B80C41"/>
    <w:rsid w:val="59BB14AC"/>
    <w:rsid w:val="59CB78B1"/>
    <w:rsid w:val="59CF0729"/>
    <w:rsid w:val="59F413E5"/>
    <w:rsid w:val="5A04583D"/>
    <w:rsid w:val="5A13730D"/>
    <w:rsid w:val="5A425322"/>
    <w:rsid w:val="5AAC6CAF"/>
    <w:rsid w:val="5AB61D4A"/>
    <w:rsid w:val="5AE54B2B"/>
    <w:rsid w:val="5AEA6A34"/>
    <w:rsid w:val="5AF44EDC"/>
    <w:rsid w:val="5B0605AC"/>
    <w:rsid w:val="5B0D3A93"/>
    <w:rsid w:val="5B1F1AB9"/>
    <w:rsid w:val="5B23542C"/>
    <w:rsid w:val="5B4403C8"/>
    <w:rsid w:val="5B4956EE"/>
    <w:rsid w:val="5B611DBE"/>
    <w:rsid w:val="5B644CC8"/>
    <w:rsid w:val="5B6A2C95"/>
    <w:rsid w:val="5B715A14"/>
    <w:rsid w:val="5B7B72A3"/>
    <w:rsid w:val="5B934F7A"/>
    <w:rsid w:val="5B9C093E"/>
    <w:rsid w:val="5B9C2349"/>
    <w:rsid w:val="5B9E55DE"/>
    <w:rsid w:val="5BAB48F4"/>
    <w:rsid w:val="5BB90387"/>
    <w:rsid w:val="5BE11B5D"/>
    <w:rsid w:val="5BE80792"/>
    <w:rsid w:val="5BF25068"/>
    <w:rsid w:val="5BF86F72"/>
    <w:rsid w:val="5BFF437E"/>
    <w:rsid w:val="5C201030"/>
    <w:rsid w:val="5C3F5168"/>
    <w:rsid w:val="5C557D11"/>
    <w:rsid w:val="5C64226D"/>
    <w:rsid w:val="5C7E7AB1"/>
    <w:rsid w:val="5C883B97"/>
    <w:rsid w:val="5C9418D2"/>
    <w:rsid w:val="5CE61501"/>
    <w:rsid w:val="5CFA09A9"/>
    <w:rsid w:val="5D0450A3"/>
    <w:rsid w:val="5D1715C8"/>
    <w:rsid w:val="5D512A5A"/>
    <w:rsid w:val="5D5206B4"/>
    <w:rsid w:val="5D647EF4"/>
    <w:rsid w:val="5D696CF8"/>
    <w:rsid w:val="5D6C2643"/>
    <w:rsid w:val="5D6F4BA6"/>
    <w:rsid w:val="5D807909"/>
    <w:rsid w:val="5D8A6083"/>
    <w:rsid w:val="5D96078C"/>
    <w:rsid w:val="5DA56337"/>
    <w:rsid w:val="5DAF6297"/>
    <w:rsid w:val="5DB80897"/>
    <w:rsid w:val="5DD4732D"/>
    <w:rsid w:val="5DD5307F"/>
    <w:rsid w:val="5DD6668C"/>
    <w:rsid w:val="5DDB5716"/>
    <w:rsid w:val="5DE42146"/>
    <w:rsid w:val="5DE50D1C"/>
    <w:rsid w:val="5DF80AE4"/>
    <w:rsid w:val="5DFB763C"/>
    <w:rsid w:val="5E0821D5"/>
    <w:rsid w:val="5E0D15ED"/>
    <w:rsid w:val="5E1117E0"/>
    <w:rsid w:val="5E1476D8"/>
    <w:rsid w:val="5E2B450C"/>
    <w:rsid w:val="5E2C1204"/>
    <w:rsid w:val="5E535B08"/>
    <w:rsid w:val="5E5E18DF"/>
    <w:rsid w:val="5E75102D"/>
    <w:rsid w:val="5E756871"/>
    <w:rsid w:val="5E793EF2"/>
    <w:rsid w:val="5E797F0A"/>
    <w:rsid w:val="5E8C4D9F"/>
    <w:rsid w:val="5E8F6A1F"/>
    <w:rsid w:val="5E9B0996"/>
    <w:rsid w:val="5E9B41D7"/>
    <w:rsid w:val="5EA0144F"/>
    <w:rsid w:val="5EC44B3A"/>
    <w:rsid w:val="5ECC69E0"/>
    <w:rsid w:val="5EE7053E"/>
    <w:rsid w:val="5EF7405C"/>
    <w:rsid w:val="5EF81ADD"/>
    <w:rsid w:val="5EFC132B"/>
    <w:rsid w:val="5F09572C"/>
    <w:rsid w:val="5F1D429B"/>
    <w:rsid w:val="5F4A27E1"/>
    <w:rsid w:val="5F5C4B7D"/>
    <w:rsid w:val="5F6445F3"/>
    <w:rsid w:val="5F691F65"/>
    <w:rsid w:val="5F744CAA"/>
    <w:rsid w:val="5F8945DA"/>
    <w:rsid w:val="5F8B5092"/>
    <w:rsid w:val="5F995DE3"/>
    <w:rsid w:val="5FBA21F5"/>
    <w:rsid w:val="5FC66772"/>
    <w:rsid w:val="5FD8114B"/>
    <w:rsid w:val="5FE307E1"/>
    <w:rsid w:val="5FE630DA"/>
    <w:rsid w:val="5FE846C1"/>
    <w:rsid w:val="5FE96E67"/>
    <w:rsid w:val="60071C9B"/>
    <w:rsid w:val="600C6122"/>
    <w:rsid w:val="600D3BA4"/>
    <w:rsid w:val="602E187C"/>
    <w:rsid w:val="6043627C"/>
    <w:rsid w:val="604C0A85"/>
    <w:rsid w:val="607F065F"/>
    <w:rsid w:val="609C218E"/>
    <w:rsid w:val="60A47149"/>
    <w:rsid w:val="60B31DB3"/>
    <w:rsid w:val="60B926A8"/>
    <w:rsid w:val="60C53352"/>
    <w:rsid w:val="60D6106E"/>
    <w:rsid w:val="60DB6DF4"/>
    <w:rsid w:val="612C0778"/>
    <w:rsid w:val="612F6608"/>
    <w:rsid w:val="6135780F"/>
    <w:rsid w:val="61416B24"/>
    <w:rsid w:val="61433C21"/>
    <w:rsid w:val="614D13CA"/>
    <w:rsid w:val="61575A24"/>
    <w:rsid w:val="616C4DE5"/>
    <w:rsid w:val="616E1639"/>
    <w:rsid w:val="618A26B5"/>
    <w:rsid w:val="618A63F0"/>
    <w:rsid w:val="61922861"/>
    <w:rsid w:val="619E43BD"/>
    <w:rsid w:val="61A40C67"/>
    <w:rsid w:val="61A545A9"/>
    <w:rsid w:val="61AD1FCB"/>
    <w:rsid w:val="61AE7A4D"/>
    <w:rsid w:val="61E7468F"/>
    <w:rsid w:val="61EB6EA3"/>
    <w:rsid w:val="621D2C7E"/>
    <w:rsid w:val="622215C1"/>
    <w:rsid w:val="625A15E8"/>
    <w:rsid w:val="62717F98"/>
    <w:rsid w:val="62824D14"/>
    <w:rsid w:val="628B1D5C"/>
    <w:rsid w:val="629762BF"/>
    <w:rsid w:val="62A40365"/>
    <w:rsid w:val="62AD53F1"/>
    <w:rsid w:val="62BE6795"/>
    <w:rsid w:val="62C03E1E"/>
    <w:rsid w:val="62C05617"/>
    <w:rsid w:val="62C161FF"/>
    <w:rsid w:val="62CA27A3"/>
    <w:rsid w:val="62CF6FB3"/>
    <w:rsid w:val="62E2351A"/>
    <w:rsid w:val="62FC3808"/>
    <w:rsid w:val="63055087"/>
    <w:rsid w:val="637713C8"/>
    <w:rsid w:val="637970C3"/>
    <w:rsid w:val="63871B55"/>
    <w:rsid w:val="638C03D1"/>
    <w:rsid w:val="639661DD"/>
    <w:rsid w:val="63976673"/>
    <w:rsid w:val="639821D2"/>
    <w:rsid w:val="63A318B8"/>
    <w:rsid w:val="63C86E42"/>
    <w:rsid w:val="640459A3"/>
    <w:rsid w:val="640A2CD3"/>
    <w:rsid w:val="641C68CD"/>
    <w:rsid w:val="64490695"/>
    <w:rsid w:val="645029C9"/>
    <w:rsid w:val="645B1C35"/>
    <w:rsid w:val="646E2E54"/>
    <w:rsid w:val="64923613"/>
    <w:rsid w:val="649B1899"/>
    <w:rsid w:val="64A50DAF"/>
    <w:rsid w:val="64A65AFD"/>
    <w:rsid w:val="64AB2CB8"/>
    <w:rsid w:val="64B60F56"/>
    <w:rsid w:val="64BA4688"/>
    <w:rsid w:val="64C2019B"/>
    <w:rsid w:val="64CD5486"/>
    <w:rsid w:val="64F131E3"/>
    <w:rsid w:val="65040DC9"/>
    <w:rsid w:val="650C1A58"/>
    <w:rsid w:val="652128F7"/>
    <w:rsid w:val="65221F46"/>
    <w:rsid w:val="65746E8C"/>
    <w:rsid w:val="658408AD"/>
    <w:rsid w:val="658A13BB"/>
    <w:rsid w:val="658B4D3F"/>
    <w:rsid w:val="659C18B1"/>
    <w:rsid w:val="65A87F99"/>
    <w:rsid w:val="65AD323B"/>
    <w:rsid w:val="65C53405"/>
    <w:rsid w:val="65E5173B"/>
    <w:rsid w:val="65ED60D5"/>
    <w:rsid w:val="66014B8E"/>
    <w:rsid w:val="66293129"/>
    <w:rsid w:val="662C0C89"/>
    <w:rsid w:val="66476527"/>
    <w:rsid w:val="66476CCE"/>
    <w:rsid w:val="664843C0"/>
    <w:rsid w:val="668869C6"/>
    <w:rsid w:val="66903DD3"/>
    <w:rsid w:val="66945EE1"/>
    <w:rsid w:val="66A84E50"/>
    <w:rsid w:val="66C03853"/>
    <w:rsid w:val="66CF713B"/>
    <w:rsid w:val="66D37D3F"/>
    <w:rsid w:val="66ED66EB"/>
    <w:rsid w:val="66EF43CA"/>
    <w:rsid w:val="66FC357B"/>
    <w:rsid w:val="670D21FC"/>
    <w:rsid w:val="67487EB0"/>
    <w:rsid w:val="67650933"/>
    <w:rsid w:val="676D5D3F"/>
    <w:rsid w:val="67742D26"/>
    <w:rsid w:val="677A17D2"/>
    <w:rsid w:val="677C6178"/>
    <w:rsid w:val="678469B0"/>
    <w:rsid w:val="67943BD6"/>
    <w:rsid w:val="67AF2BC2"/>
    <w:rsid w:val="67B84130"/>
    <w:rsid w:val="67CA1EF8"/>
    <w:rsid w:val="67EB2D8A"/>
    <w:rsid w:val="67ED1B11"/>
    <w:rsid w:val="67FE513C"/>
    <w:rsid w:val="68211C2F"/>
    <w:rsid w:val="68233E4F"/>
    <w:rsid w:val="682F1D94"/>
    <w:rsid w:val="684D75AC"/>
    <w:rsid w:val="686D2B55"/>
    <w:rsid w:val="686D591C"/>
    <w:rsid w:val="68963A31"/>
    <w:rsid w:val="68975106"/>
    <w:rsid w:val="68AB0C88"/>
    <w:rsid w:val="68CB3C34"/>
    <w:rsid w:val="68DB2693"/>
    <w:rsid w:val="68FD31BF"/>
    <w:rsid w:val="690E3955"/>
    <w:rsid w:val="69105C0E"/>
    <w:rsid w:val="692A2DD6"/>
    <w:rsid w:val="69331237"/>
    <w:rsid w:val="695A0B28"/>
    <w:rsid w:val="695A5172"/>
    <w:rsid w:val="696F0AFE"/>
    <w:rsid w:val="69800928"/>
    <w:rsid w:val="69897D5C"/>
    <w:rsid w:val="698A257F"/>
    <w:rsid w:val="6994673F"/>
    <w:rsid w:val="699920C4"/>
    <w:rsid w:val="69B571FF"/>
    <w:rsid w:val="69D041DE"/>
    <w:rsid w:val="69D450E7"/>
    <w:rsid w:val="69FE14F0"/>
    <w:rsid w:val="6A032055"/>
    <w:rsid w:val="6A046A26"/>
    <w:rsid w:val="6A174619"/>
    <w:rsid w:val="6A17596C"/>
    <w:rsid w:val="6A383C54"/>
    <w:rsid w:val="6A522AB0"/>
    <w:rsid w:val="6A5665CF"/>
    <w:rsid w:val="6A617017"/>
    <w:rsid w:val="6A673270"/>
    <w:rsid w:val="6A805C0A"/>
    <w:rsid w:val="6A882B27"/>
    <w:rsid w:val="6A8E3FAE"/>
    <w:rsid w:val="6A912BC6"/>
    <w:rsid w:val="6AB72457"/>
    <w:rsid w:val="6AC83AE8"/>
    <w:rsid w:val="6AD3180B"/>
    <w:rsid w:val="6AF46E73"/>
    <w:rsid w:val="6B1A4C4C"/>
    <w:rsid w:val="6B1B3066"/>
    <w:rsid w:val="6B2738F4"/>
    <w:rsid w:val="6B2D1BE2"/>
    <w:rsid w:val="6B2D5466"/>
    <w:rsid w:val="6B3E6EDE"/>
    <w:rsid w:val="6B511923"/>
    <w:rsid w:val="6B66608C"/>
    <w:rsid w:val="6B735BA4"/>
    <w:rsid w:val="6B911907"/>
    <w:rsid w:val="6BA93F28"/>
    <w:rsid w:val="6BE03D88"/>
    <w:rsid w:val="6BE2620E"/>
    <w:rsid w:val="6BE82315"/>
    <w:rsid w:val="6BEA0AEA"/>
    <w:rsid w:val="6C0504CD"/>
    <w:rsid w:val="6C4007A6"/>
    <w:rsid w:val="6C4B4F78"/>
    <w:rsid w:val="6C620D4B"/>
    <w:rsid w:val="6C727DF0"/>
    <w:rsid w:val="6C793C2A"/>
    <w:rsid w:val="6C874256"/>
    <w:rsid w:val="6C965054"/>
    <w:rsid w:val="6C9C30BE"/>
    <w:rsid w:val="6CA404CA"/>
    <w:rsid w:val="6CA721C1"/>
    <w:rsid w:val="6CAF42DD"/>
    <w:rsid w:val="6CB25261"/>
    <w:rsid w:val="6CC565C6"/>
    <w:rsid w:val="6CCE5DC3"/>
    <w:rsid w:val="6CD46A9B"/>
    <w:rsid w:val="6CDA5121"/>
    <w:rsid w:val="6CE6542B"/>
    <w:rsid w:val="6CFA6CDB"/>
    <w:rsid w:val="6D120AFE"/>
    <w:rsid w:val="6D2B74AA"/>
    <w:rsid w:val="6D3D2C47"/>
    <w:rsid w:val="6D4874A9"/>
    <w:rsid w:val="6D4E2EE1"/>
    <w:rsid w:val="6D566DB0"/>
    <w:rsid w:val="6D582938"/>
    <w:rsid w:val="6D6C03BA"/>
    <w:rsid w:val="6D7878A4"/>
    <w:rsid w:val="6D800281"/>
    <w:rsid w:val="6D8646FC"/>
    <w:rsid w:val="6D895FE0"/>
    <w:rsid w:val="6D9001ED"/>
    <w:rsid w:val="6D9D5654"/>
    <w:rsid w:val="6DB73798"/>
    <w:rsid w:val="6DBE360F"/>
    <w:rsid w:val="6DC9657A"/>
    <w:rsid w:val="6DE211D7"/>
    <w:rsid w:val="6DE76C8D"/>
    <w:rsid w:val="6DEA448D"/>
    <w:rsid w:val="6DED5E9F"/>
    <w:rsid w:val="6DF95F1D"/>
    <w:rsid w:val="6DFC1CAF"/>
    <w:rsid w:val="6E215ADA"/>
    <w:rsid w:val="6E4E77CA"/>
    <w:rsid w:val="6E5C523E"/>
    <w:rsid w:val="6E695222"/>
    <w:rsid w:val="6E8426DF"/>
    <w:rsid w:val="6E9D6087"/>
    <w:rsid w:val="6EB505AF"/>
    <w:rsid w:val="6EC55C46"/>
    <w:rsid w:val="6EC85AF0"/>
    <w:rsid w:val="6ED053E9"/>
    <w:rsid w:val="6ED1305E"/>
    <w:rsid w:val="6ED177DA"/>
    <w:rsid w:val="6ED3418A"/>
    <w:rsid w:val="6ED74C89"/>
    <w:rsid w:val="6ED85CCD"/>
    <w:rsid w:val="6EE174CF"/>
    <w:rsid w:val="6EF066ED"/>
    <w:rsid w:val="6F067393"/>
    <w:rsid w:val="6F21085E"/>
    <w:rsid w:val="6F221B63"/>
    <w:rsid w:val="6F236BE2"/>
    <w:rsid w:val="6F2B1A9C"/>
    <w:rsid w:val="6F501FFB"/>
    <w:rsid w:val="6F524BFF"/>
    <w:rsid w:val="6F6A4E6C"/>
    <w:rsid w:val="6F7270B4"/>
    <w:rsid w:val="6F753B6B"/>
    <w:rsid w:val="6F776011"/>
    <w:rsid w:val="6F784462"/>
    <w:rsid w:val="6F811B7C"/>
    <w:rsid w:val="6FA303C7"/>
    <w:rsid w:val="6FAE142B"/>
    <w:rsid w:val="6FBE5A42"/>
    <w:rsid w:val="6FD54E8A"/>
    <w:rsid w:val="6FD70AF2"/>
    <w:rsid w:val="6FD9000D"/>
    <w:rsid w:val="6FDE7D18"/>
    <w:rsid w:val="6FE10349"/>
    <w:rsid w:val="6FE860A9"/>
    <w:rsid w:val="6FF61FAD"/>
    <w:rsid w:val="6FFE49C9"/>
    <w:rsid w:val="700F11DD"/>
    <w:rsid w:val="70232166"/>
    <w:rsid w:val="705E5CE7"/>
    <w:rsid w:val="70647BF1"/>
    <w:rsid w:val="70750F7C"/>
    <w:rsid w:val="70751B2F"/>
    <w:rsid w:val="707553D5"/>
    <w:rsid w:val="70972202"/>
    <w:rsid w:val="709E2C58"/>
    <w:rsid w:val="70A05857"/>
    <w:rsid w:val="70B717EB"/>
    <w:rsid w:val="70B7547C"/>
    <w:rsid w:val="70C320D9"/>
    <w:rsid w:val="710C23FB"/>
    <w:rsid w:val="7110138E"/>
    <w:rsid w:val="711D0C9C"/>
    <w:rsid w:val="712325AD"/>
    <w:rsid w:val="713F2DD7"/>
    <w:rsid w:val="714633C6"/>
    <w:rsid w:val="714D5970"/>
    <w:rsid w:val="715F4991"/>
    <w:rsid w:val="71602412"/>
    <w:rsid w:val="71622092"/>
    <w:rsid w:val="71840FA7"/>
    <w:rsid w:val="718E1C5D"/>
    <w:rsid w:val="71971C90"/>
    <w:rsid w:val="719E0A70"/>
    <w:rsid w:val="71A5390F"/>
    <w:rsid w:val="71AE3841"/>
    <w:rsid w:val="71B0512B"/>
    <w:rsid w:val="71D545CF"/>
    <w:rsid w:val="71DD1FEF"/>
    <w:rsid w:val="71E465BC"/>
    <w:rsid w:val="71E56DE8"/>
    <w:rsid w:val="72117ED8"/>
    <w:rsid w:val="72380DF1"/>
    <w:rsid w:val="724367E8"/>
    <w:rsid w:val="724410F6"/>
    <w:rsid w:val="7250322E"/>
    <w:rsid w:val="726B4F67"/>
    <w:rsid w:val="727608D5"/>
    <w:rsid w:val="72827F6B"/>
    <w:rsid w:val="7295118A"/>
    <w:rsid w:val="72AA112F"/>
    <w:rsid w:val="72CD56CF"/>
    <w:rsid w:val="72E16971"/>
    <w:rsid w:val="72E21289"/>
    <w:rsid w:val="73232523"/>
    <w:rsid w:val="732C1614"/>
    <w:rsid w:val="732D2E9A"/>
    <w:rsid w:val="73376795"/>
    <w:rsid w:val="733C4E1B"/>
    <w:rsid w:val="733D069E"/>
    <w:rsid w:val="735018BD"/>
    <w:rsid w:val="735753B2"/>
    <w:rsid w:val="73643DE1"/>
    <w:rsid w:val="73705AD4"/>
    <w:rsid w:val="73796251"/>
    <w:rsid w:val="739D5DBC"/>
    <w:rsid w:val="73B17C87"/>
    <w:rsid w:val="73B430BE"/>
    <w:rsid w:val="73CB7009"/>
    <w:rsid w:val="73D51B16"/>
    <w:rsid w:val="73DC30B3"/>
    <w:rsid w:val="73DD6F47"/>
    <w:rsid w:val="73EA6238"/>
    <w:rsid w:val="73FC630C"/>
    <w:rsid w:val="74042666"/>
    <w:rsid w:val="740D3DE3"/>
    <w:rsid w:val="741D36CA"/>
    <w:rsid w:val="742A71C4"/>
    <w:rsid w:val="74337932"/>
    <w:rsid w:val="746F5A54"/>
    <w:rsid w:val="74704A19"/>
    <w:rsid w:val="747426A9"/>
    <w:rsid w:val="74860F0A"/>
    <w:rsid w:val="748D3AA7"/>
    <w:rsid w:val="7497390E"/>
    <w:rsid w:val="749D639F"/>
    <w:rsid w:val="74B30882"/>
    <w:rsid w:val="74B62489"/>
    <w:rsid w:val="74B75A9A"/>
    <w:rsid w:val="74E91B50"/>
    <w:rsid w:val="74E97596"/>
    <w:rsid w:val="75034787"/>
    <w:rsid w:val="75120858"/>
    <w:rsid w:val="751235C5"/>
    <w:rsid w:val="751A21AE"/>
    <w:rsid w:val="75232ABD"/>
    <w:rsid w:val="75411635"/>
    <w:rsid w:val="75463887"/>
    <w:rsid w:val="755C1EBE"/>
    <w:rsid w:val="75631829"/>
    <w:rsid w:val="75715D52"/>
    <w:rsid w:val="75795A4A"/>
    <w:rsid w:val="759B3A01"/>
    <w:rsid w:val="75A00FC7"/>
    <w:rsid w:val="75A75119"/>
    <w:rsid w:val="75A767EE"/>
    <w:rsid w:val="7610141F"/>
    <w:rsid w:val="7617596F"/>
    <w:rsid w:val="761F407B"/>
    <w:rsid w:val="7624155B"/>
    <w:rsid w:val="76550ADA"/>
    <w:rsid w:val="765B7E97"/>
    <w:rsid w:val="76665687"/>
    <w:rsid w:val="76727D63"/>
    <w:rsid w:val="7676198F"/>
    <w:rsid w:val="76985EA2"/>
    <w:rsid w:val="769A021B"/>
    <w:rsid w:val="76B422D0"/>
    <w:rsid w:val="76CF1C1E"/>
    <w:rsid w:val="76E5271E"/>
    <w:rsid w:val="76EB3EA2"/>
    <w:rsid w:val="773366FD"/>
    <w:rsid w:val="77344ADF"/>
    <w:rsid w:val="778C6A49"/>
    <w:rsid w:val="77AF566A"/>
    <w:rsid w:val="77CA18C5"/>
    <w:rsid w:val="77D16744"/>
    <w:rsid w:val="77DA64AE"/>
    <w:rsid w:val="77E86AC9"/>
    <w:rsid w:val="77F00652"/>
    <w:rsid w:val="78093E4B"/>
    <w:rsid w:val="78174AB0"/>
    <w:rsid w:val="781F04FB"/>
    <w:rsid w:val="783A303B"/>
    <w:rsid w:val="78482365"/>
    <w:rsid w:val="785651EB"/>
    <w:rsid w:val="785719A5"/>
    <w:rsid w:val="785D6A87"/>
    <w:rsid w:val="78603447"/>
    <w:rsid w:val="787518CB"/>
    <w:rsid w:val="78827754"/>
    <w:rsid w:val="788B07D3"/>
    <w:rsid w:val="789E5DEE"/>
    <w:rsid w:val="78D35E9E"/>
    <w:rsid w:val="78D45AB3"/>
    <w:rsid w:val="78E5538F"/>
    <w:rsid w:val="78EE553E"/>
    <w:rsid w:val="78F441A4"/>
    <w:rsid w:val="79014C79"/>
    <w:rsid w:val="790A5FA7"/>
    <w:rsid w:val="792026DC"/>
    <w:rsid w:val="792B55D1"/>
    <w:rsid w:val="792E0D34"/>
    <w:rsid w:val="793527B2"/>
    <w:rsid w:val="79551A82"/>
    <w:rsid w:val="795C6688"/>
    <w:rsid w:val="796F06DB"/>
    <w:rsid w:val="798442EB"/>
    <w:rsid w:val="799B3F11"/>
    <w:rsid w:val="799D1612"/>
    <w:rsid w:val="79B3755A"/>
    <w:rsid w:val="79B46E6C"/>
    <w:rsid w:val="79CB6C5E"/>
    <w:rsid w:val="79D750F8"/>
    <w:rsid w:val="79DD726F"/>
    <w:rsid w:val="79DE46D7"/>
    <w:rsid w:val="79E9575B"/>
    <w:rsid w:val="79EC2A16"/>
    <w:rsid w:val="79ED1D40"/>
    <w:rsid w:val="7A091FC6"/>
    <w:rsid w:val="7A0F1B9F"/>
    <w:rsid w:val="7A3C73E8"/>
    <w:rsid w:val="7A3F2296"/>
    <w:rsid w:val="7A4A0831"/>
    <w:rsid w:val="7A4C0DFA"/>
    <w:rsid w:val="7A4D6A09"/>
    <w:rsid w:val="7A6170FA"/>
    <w:rsid w:val="7A65732D"/>
    <w:rsid w:val="7A665A98"/>
    <w:rsid w:val="7A96402D"/>
    <w:rsid w:val="7A992E5F"/>
    <w:rsid w:val="7AA07F3B"/>
    <w:rsid w:val="7AB71EF1"/>
    <w:rsid w:val="7ABA0AE5"/>
    <w:rsid w:val="7AE172FA"/>
    <w:rsid w:val="7AE2407D"/>
    <w:rsid w:val="7AFD66C2"/>
    <w:rsid w:val="7AFE135A"/>
    <w:rsid w:val="7B253D6B"/>
    <w:rsid w:val="7B432FC7"/>
    <w:rsid w:val="7B4948D5"/>
    <w:rsid w:val="7B700D65"/>
    <w:rsid w:val="7B954FD0"/>
    <w:rsid w:val="7B995187"/>
    <w:rsid w:val="7BAB1BF7"/>
    <w:rsid w:val="7BB26861"/>
    <w:rsid w:val="7BC84F99"/>
    <w:rsid w:val="7BCA4C90"/>
    <w:rsid w:val="7BD35F5F"/>
    <w:rsid w:val="7BDD53C4"/>
    <w:rsid w:val="7BE11BCC"/>
    <w:rsid w:val="7BF4750F"/>
    <w:rsid w:val="7C396854"/>
    <w:rsid w:val="7C3B3E60"/>
    <w:rsid w:val="7C4B069E"/>
    <w:rsid w:val="7C4B4254"/>
    <w:rsid w:val="7C4F43FE"/>
    <w:rsid w:val="7C5A5335"/>
    <w:rsid w:val="7C664861"/>
    <w:rsid w:val="7C6F7363"/>
    <w:rsid w:val="7C753A0E"/>
    <w:rsid w:val="7C7F09F0"/>
    <w:rsid w:val="7C852D5E"/>
    <w:rsid w:val="7CA52C0F"/>
    <w:rsid w:val="7CB0319E"/>
    <w:rsid w:val="7CB62EA9"/>
    <w:rsid w:val="7CD47EDB"/>
    <w:rsid w:val="7CD95EB9"/>
    <w:rsid w:val="7CDD04D8"/>
    <w:rsid w:val="7CE82192"/>
    <w:rsid w:val="7CFF45A2"/>
    <w:rsid w:val="7D057C15"/>
    <w:rsid w:val="7D076ADF"/>
    <w:rsid w:val="7D0E129E"/>
    <w:rsid w:val="7D4A4136"/>
    <w:rsid w:val="7D56500F"/>
    <w:rsid w:val="7D623A47"/>
    <w:rsid w:val="7D8240F9"/>
    <w:rsid w:val="7D834509"/>
    <w:rsid w:val="7D8D05C3"/>
    <w:rsid w:val="7D941212"/>
    <w:rsid w:val="7D9D4634"/>
    <w:rsid w:val="7DA11C02"/>
    <w:rsid w:val="7DA50D6C"/>
    <w:rsid w:val="7DA9301A"/>
    <w:rsid w:val="7DCE11F5"/>
    <w:rsid w:val="7E3151D1"/>
    <w:rsid w:val="7E6372B2"/>
    <w:rsid w:val="7E7052A2"/>
    <w:rsid w:val="7E795C42"/>
    <w:rsid w:val="7E7D266A"/>
    <w:rsid w:val="7E841601"/>
    <w:rsid w:val="7EA236C0"/>
    <w:rsid w:val="7EA75753"/>
    <w:rsid w:val="7EA90D5A"/>
    <w:rsid w:val="7EAD1F16"/>
    <w:rsid w:val="7EBA4878"/>
    <w:rsid w:val="7ED64745"/>
    <w:rsid w:val="7EDA2BB6"/>
    <w:rsid w:val="7F0C557C"/>
    <w:rsid w:val="7F107805"/>
    <w:rsid w:val="7F1C2CED"/>
    <w:rsid w:val="7F1F2A46"/>
    <w:rsid w:val="7F214530"/>
    <w:rsid w:val="7F284B9A"/>
    <w:rsid w:val="7F402553"/>
    <w:rsid w:val="7F432537"/>
    <w:rsid w:val="7F467914"/>
    <w:rsid w:val="7F56630C"/>
    <w:rsid w:val="7F6555F0"/>
    <w:rsid w:val="7F7542D2"/>
    <w:rsid w:val="7F7D7E39"/>
    <w:rsid w:val="7F903C9F"/>
    <w:rsid w:val="7F990567"/>
    <w:rsid w:val="7F9F3FB9"/>
    <w:rsid w:val="7FA6577A"/>
    <w:rsid w:val="7FB05EBC"/>
    <w:rsid w:val="7FB3179B"/>
    <w:rsid w:val="7FE21D5C"/>
    <w:rsid w:val="7FFA430A"/>
    <w:rsid w:val="7FFB75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rFonts w:eastAsia="黑体"/>
      <w:b/>
      <w:kern w:val="44"/>
      <w:sz w:val="30"/>
    </w:rPr>
  </w:style>
  <w:style w:type="paragraph" w:styleId="3">
    <w:name w:val="heading 2"/>
    <w:basedOn w:val="1"/>
    <w:next w:val="4"/>
    <w:qFormat/>
    <w:uiPriority w:val="0"/>
    <w:pPr>
      <w:numPr>
        <w:ilvl w:val="1"/>
        <w:numId w:val="1"/>
      </w:numPr>
      <w:spacing w:before="240" w:after="240"/>
      <w:outlineLvl w:val="1"/>
    </w:pPr>
    <w:rPr>
      <w:b/>
      <w:sz w:val="28"/>
      <w:szCs w:val="32"/>
    </w:rPr>
  </w:style>
  <w:style w:type="paragraph" w:styleId="4">
    <w:name w:val="heading 3"/>
    <w:basedOn w:val="1"/>
    <w:next w:val="1"/>
    <w:qFormat/>
    <w:uiPriority w:val="0"/>
    <w:pPr>
      <w:keepNext/>
      <w:keepLines/>
      <w:spacing w:before="260" w:after="260" w:line="416" w:lineRule="auto"/>
      <w:outlineLvl w:val="2"/>
    </w:pPr>
    <w:rPr>
      <w:rFonts w:ascii="Calibri" w:hAnsi="Calibri" w:cs="Times New Roman"/>
      <w:b/>
      <w:bCs/>
      <w:sz w:val="32"/>
      <w:szCs w:val="32"/>
    </w:rPr>
  </w:style>
  <w:style w:type="paragraph" w:styleId="5">
    <w:name w:val="heading 4"/>
    <w:basedOn w:val="6"/>
    <w:next w:val="1"/>
    <w:qFormat/>
    <w:uiPriority w:val="9"/>
    <w:pPr>
      <w:spacing w:line="240" w:lineRule="auto"/>
      <w:ind w:firstLine="0"/>
      <w:jc w:val="center"/>
      <w:outlineLvl w:val="3"/>
    </w:pPr>
    <w:rPr>
      <w:b/>
    </w:rPr>
  </w:style>
  <w:style w:type="character" w:default="1" w:styleId="31">
    <w:name w:val="Default Paragraph Font"/>
    <w:semiHidden/>
    <w:unhideWhenUsed/>
    <w:uiPriority w:val="1"/>
  </w:style>
  <w:style w:type="table" w:default="1" w:styleId="29">
    <w:name w:val="Normal Table"/>
    <w:semiHidden/>
    <w:unhideWhenUsed/>
    <w:uiPriority w:val="99"/>
    <w:tblPr>
      <w:tblCellMar>
        <w:top w:w="0" w:type="dxa"/>
        <w:left w:w="108" w:type="dxa"/>
        <w:bottom w:w="0" w:type="dxa"/>
        <w:right w:w="108" w:type="dxa"/>
      </w:tblCellMar>
    </w:tblPr>
  </w:style>
  <w:style w:type="paragraph" w:customStyle="1" w:styleId="6">
    <w:name w:val="正文1"/>
    <w:basedOn w:val="1"/>
    <w:next w:val="1"/>
    <w:qFormat/>
    <w:uiPriority w:val="0"/>
    <w:pPr>
      <w:adjustRightInd w:val="0"/>
      <w:snapToGrid w:val="0"/>
      <w:spacing w:line="360" w:lineRule="auto"/>
      <w:ind w:firstLine="480"/>
    </w:pPr>
    <w:rPr>
      <w:color w:val="000000"/>
      <w:sz w:val="24"/>
    </w:rPr>
  </w:style>
  <w:style w:type="paragraph" w:styleId="7">
    <w:name w:val="Normal Indent"/>
    <w:basedOn w:val="1"/>
    <w:next w:val="1"/>
    <w:qFormat/>
    <w:uiPriority w:val="0"/>
    <w:pPr>
      <w:spacing w:line="440" w:lineRule="exact"/>
      <w:ind w:firstLine="420"/>
    </w:pPr>
    <w:rPr>
      <w:rFonts w:ascii="宋体"/>
      <w:sz w:val="24"/>
    </w:rPr>
  </w:style>
  <w:style w:type="paragraph" w:styleId="8">
    <w:name w:val="caption"/>
    <w:basedOn w:val="1"/>
    <w:next w:val="1"/>
    <w:qFormat/>
    <w:uiPriority w:val="35"/>
    <w:pPr>
      <w:spacing w:line="360" w:lineRule="auto"/>
    </w:pPr>
    <w:rPr>
      <w:rFonts w:ascii="Cambria" w:hAnsi="Cambria" w:eastAsia="黑体" w:cs="Times New Roman"/>
      <w:sz w:val="20"/>
      <w:szCs w:val="20"/>
    </w:rPr>
  </w:style>
  <w:style w:type="paragraph" w:styleId="9">
    <w:name w:val="toa heading"/>
    <w:basedOn w:val="1"/>
    <w:next w:val="1"/>
    <w:qFormat/>
    <w:uiPriority w:val="0"/>
    <w:pPr>
      <w:spacing w:before="120"/>
    </w:pPr>
    <w:rPr>
      <w:rFonts w:hAnsi="Arial" w:eastAsia="宋体"/>
      <w:sz w:val="24"/>
    </w:rPr>
  </w:style>
  <w:style w:type="paragraph" w:styleId="10">
    <w:name w:val="annotation text"/>
    <w:basedOn w:val="1"/>
    <w:qFormat/>
    <w:uiPriority w:val="0"/>
    <w:pPr>
      <w:spacing w:line="360" w:lineRule="auto"/>
      <w:jc w:val="left"/>
    </w:pPr>
    <w:rPr>
      <w:rFonts w:ascii="宋体" w:hAnsi="宋体"/>
      <w:sz w:val="24"/>
    </w:rPr>
  </w:style>
  <w:style w:type="paragraph" w:styleId="11">
    <w:name w:val="Body Text"/>
    <w:basedOn w:val="1"/>
    <w:next w:val="12"/>
    <w:qFormat/>
    <w:uiPriority w:val="0"/>
    <w:rPr>
      <w:sz w:val="24"/>
    </w:rPr>
  </w:style>
  <w:style w:type="paragraph" w:customStyle="1" w:styleId="12">
    <w:name w:val="明显引用1"/>
    <w:next w:val="1"/>
    <w:qFormat/>
    <w:uiPriority w:val="0"/>
    <w:pPr>
      <w:wordWrap w:val="0"/>
      <w:spacing w:before="360" w:after="360"/>
      <w:ind w:left="950" w:right="950"/>
      <w:jc w:val="center"/>
    </w:pPr>
    <w:rPr>
      <w:rFonts w:ascii="Times New Roman" w:hAnsi="Times New Roman" w:eastAsia="宋体" w:cs="Times New Roman"/>
      <w:i/>
      <w:sz w:val="21"/>
      <w:lang w:val="en-US" w:eastAsia="zh-CN" w:bidi="ar-SA"/>
    </w:rPr>
  </w:style>
  <w:style w:type="paragraph" w:styleId="13">
    <w:name w:val="Body Text Indent"/>
    <w:basedOn w:val="1"/>
    <w:next w:val="14"/>
    <w:qFormat/>
    <w:uiPriority w:val="0"/>
    <w:pPr>
      <w:ind w:firstLine="645"/>
    </w:pPr>
    <w:rPr>
      <w:sz w:val="28"/>
    </w:rPr>
  </w:style>
  <w:style w:type="paragraph" w:customStyle="1" w:styleId="14">
    <w:name w:val="样式 正文文本缩进 + 行距: 1.5 倍行距"/>
    <w:basedOn w:val="1"/>
    <w:qFormat/>
    <w:uiPriority w:val="0"/>
    <w:pPr>
      <w:tabs>
        <w:tab w:val="left" w:pos="8020"/>
      </w:tabs>
      <w:spacing w:after="120" w:line="360" w:lineRule="auto"/>
      <w:ind w:left="90" w:leftChars="32" w:firstLine="560" w:firstLineChars="200"/>
    </w:pPr>
    <w:rPr>
      <w:rFonts w:cs="宋体"/>
    </w:rPr>
  </w:style>
  <w:style w:type="paragraph" w:styleId="15">
    <w:name w:val="Block Text"/>
    <w:basedOn w:val="1"/>
    <w:qFormat/>
    <w:uiPriority w:val="0"/>
    <w:pPr>
      <w:spacing w:after="120"/>
      <w:ind w:left="1440" w:leftChars="700" w:right="1440" w:rightChars="700"/>
    </w:pPr>
  </w:style>
  <w:style w:type="paragraph" w:styleId="16">
    <w:name w:val="Plain Text"/>
    <w:basedOn w:val="1"/>
    <w:qFormat/>
    <w:uiPriority w:val="0"/>
    <w:rPr>
      <w:rFonts w:ascii="宋体" w:hAnsi="Courier New"/>
    </w:rPr>
  </w:style>
  <w:style w:type="paragraph" w:styleId="17">
    <w:name w:val="Date"/>
    <w:basedOn w:val="1"/>
    <w:next w:val="1"/>
    <w:qFormat/>
    <w:uiPriority w:val="0"/>
    <w:rPr>
      <w:sz w:val="24"/>
      <w:szCs w:val="20"/>
    </w:rPr>
  </w:style>
  <w:style w:type="paragraph" w:styleId="18">
    <w:name w:val="Body Text Indent 2"/>
    <w:basedOn w:val="1"/>
    <w:qFormat/>
    <w:uiPriority w:val="0"/>
    <w:pPr>
      <w:ind w:firstLine="570"/>
    </w:pPr>
    <w:rPr>
      <w:sz w:val="28"/>
    </w:rPr>
  </w:style>
  <w:style w:type="paragraph" w:styleId="19">
    <w:name w:val="Balloon Text"/>
    <w:basedOn w:val="1"/>
    <w:link w:val="60"/>
    <w:qFormat/>
    <w:uiPriority w:val="0"/>
    <w:rPr>
      <w:sz w:val="18"/>
      <w:szCs w:val="18"/>
    </w:rPr>
  </w:style>
  <w:style w:type="paragraph" w:styleId="20">
    <w:name w:val="footer"/>
    <w:basedOn w:val="1"/>
    <w:qFormat/>
    <w:uiPriority w:val="0"/>
    <w:pPr>
      <w:tabs>
        <w:tab w:val="center" w:pos="4153"/>
        <w:tab w:val="right" w:pos="8306"/>
      </w:tabs>
      <w:snapToGrid w:val="0"/>
      <w:jc w:val="left"/>
    </w:pPr>
    <w:rPr>
      <w:sz w:val="18"/>
    </w:rPr>
  </w:style>
  <w:style w:type="paragraph" w:styleId="21">
    <w:name w:val="header"/>
    <w:basedOn w:val="1"/>
    <w:next w:val="1"/>
    <w:qFormat/>
    <w:uiPriority w:val="0"/>
    <w:pPr>
      <w:pBdr>
        <w:bottom w:val="single" w:color="auto" w:sz="6" w:space="1"/>
      </w:pBdr>
      <w:tabs>
        <w:tab w:val="center" w:pos="4153"/>
        <w:tab w:val="right" w:pos="8306"/>
      </w:tabs>
      <w:snapToGrid w:val="0"/>
      <w:jc w:val="center"/>
    </w:pPr>
    <w:rPr>
      <w:sz w:val="18"/>
      <w:szCs w:val="18"/>
    </w:rPr>
  </w:style>
  <w:style w:type="paragraph" w:styleId="22">
    <w:name w:val="toc 1"/>
    <w:basedOn w:val="1"/>
    <w:next w:val="1"/>
    <w:qFormat/>
    <w:uiPriority w:val="39"/>
  </w:style>
  <w:style w:type="paragraph" w:styleId="23">
    <w:name w:val="index heading"/>
    <w:basedOn w:val="1"/>
    <w:next w:val="24"/>
    <w:qFormat/>
    <w:uiPriority w:val="0"/>
    <w:rPr>
      <w:rFonts w:ascii="Arial" w:hAnsi="Arial"/>
      <w:b/>
    </w:rPr>
  </w:style>
  <w:style w:type="paragraph" w:styleId="24">
    <w:name w:val="index 1"/>
    <w:basedOn w:val="1"/>
    <w:next w:val="1"/>
    <w:qFormat/>
    <w:uiPriority w:val="0"/>
    <w:pPr>
      <w:adjustRightInd w:val="0"/>
      <w:snapToGrid w:val="0"/>
      <w:spacing w:line="360" w:lineRule="auto"/>
    </w:pPr>
    <w:rPr>
      <w:rFonts w:hint="eastAsia" w:ascii="宋体" w:hAnsi="宋体"/>
      <w:sz w:val="24"/>
      <w:szCs w:val="20"/>
    </w:rPr>
  </w:style>
  <w:style w:type="paragraph" w:styleId="25">
    <w:name w:val="Normal (Web)"/>
    <w:basedOn w:val="1"/>
    <w:qFormat/>
    <w:uiPriority w:val="0"/>
    <w:pPr>
      <w:widowControl/>
      <w:spacing w:before="100" w:beforeAutospacing="1" w:after="100" w:afterAutospacing="1"/>
      <w:jc w:val="left"/>
    </w:pPr>
    <w:rPr>
      <w:rFonts w:ascii="宋体" w:hAnsi="宋体"/>
      <w:kern w:val="0"/>
      <w:sz w:val="24"/>
    </w:rPr>
  </w:style>
  <w:style w:type="paragraph" w:styleId="26">
    <w:name w:val="Title"/>
    <w:basedOn w:val="1"/>
    <w:next w:val="1"/>
    <w:qFormat/>
    <w:uiPriority w:val="0"/>
    <w:pPr>
      <w:jc w:val="center"/>
      <w:outlineLvl w:val="0"/>
    </w:pPr>
    <w:rPr>
      <w:rFonts w:cs="Times New Roman"/>
      <w:b/>
      <w:bCs/>
      <w:szCs w:val="32"/>
    </w:rPr>
  </w:style>
  <w:style w:type="paragraph" w:styleId="27">
    <w:name w:val="Body Text First Indent"/>
    <w:basedOn w:val="11"/>
    <w:next w:val="1"/>
    <w:qFormat/>
    <w:uiPriority w:val="0"/>
    <w:pPr>
      <w:spacing w:after="120"/>
      <w:ind w:firstLine="420" w:firstLineChars="100"/>
    </w:pPr>
    <w:rPr>
      <w:sz w:val="21"/>
    </w:rPr>
  </w:style>
  <w:style w:type="paragraph" w:styleId="28">
    <w:name w:val="Body Text First Indent 2"/>
    <w:basedOn w:val="13"/>
    <w:next w:val="27"/>
    <w:qFormat/>
    <w:uiPriority w:val="0"/>
    <w:pPr>
      <w:spacing w:after="120"/>
      <w:ind w:left="420" w:leftChars="200" w:firstLine="420" w:firstLineChars="200"/>
    </w:pPr>
  </w:style>
  <w:style w:type="table" w:styleId="30">
    <w:name w:val="Table Grid"/>
    <w:basedOn w:val="2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qFormat/>
    <w:uiPriority w:val="0"/>
    <w:rPr>
      <w:b/>
      <w:sz w:val="21"/>
    </w:rPr>
  </w:style>
  <w:style w:type="character" w:styleId="33">
    <w:name w:val="Hyperlink"/>
    <w:basedOn w:val="31"/>
    <w:qFormat/>
    <w:uiPriority w:val="0"/>
    <w:rPr>
      <w:color w:val="0000FF"/>
      <w:u w:val="single"/>
    </w:rPr>
  </w:style>
  <w:style w:type="character" w:styleId="34">
    <w:name w:val="annotation reference"/>
    <w:qFormat/>
    <w:uiPriority w:val="0"/>
    <w:rPr>
      <w:sz w:val="21"/>
    </w:rPr>
  </w:style>
  <w:style w:type="paragraph" w:customStyle="1" w:styleId="35">
    <w:name w:val="表格"/>
    <w:basedOn w:val="1"/>
    <w:next w:val="1"/>
    <w:qFormat/>
    <w:uiPriority w:val="0"/>
    <w:pPr>
      <w:spacing w:line="240" w:lineRule="exact"/>
      <w:jc w:val="center"/>
    </w:pPr>
    <w:rPr>
      <w:rFonts w:ascii="楷体_GB2312" w:eastAsia="新宋体"/>
    </w:rPr>
  </w:style>
  <w:style w:type="paragraph" w:customStyle="1" w:styleId="36">
    <w:name w:val="Default"/>
    <w:basedOn w:val="37"/>
    <w:next w:val="28"/>
    <w:qFormat/>
    <w:uiPriority w:val="0"/>
    <w:pPr>
      <w:autoSpaceDE w:val="0"/>
      <w:autoSpaceDN w:val="0"/>
      <w:adjustRightInd w:val="0"/>
    </w:pPr>
    <w:rPr>
      <w:rFonts w:ascii="宋体" w:cs="宋体"/>
      <w:sz w:val="24"/>
    </w:rPr>
  </w:style>
  <w:style w:type="paragraph" w:customStyle="1" w:styleId="37">
    <w:name w:val="批注文字1"/>
    <w:qFormat/>
    <w:uiPriority w:val="0"/>
    <w:pPr>
      <w:widowControl w:val="0"/>
    </w:pPr>
    <w:rPr>
      <w:rFonts w:ascii="Times New Roman" w:hAnsi="Times New Roman" w:eastAsia="宋体" w:cs="Times New Roman"/>
      <w:color w:val="000000"/>
      <w:kern w:val="2"/>
      <w:sz w:val="21"/>
      <w:szCs w:val="24"/>
      <w:lang w:val="en-US" w:eastAsia="zh-CN" w:bidi="ar-SA"/>
    </w:rPr>
  </w:style>
  <w:style w:type="paragraph" w:customStyle="1" w:styleId="38">
    <w:name w:val="xl27"/>
    <w:basedOn w:val="1"/>
    <w:qFormat/>
    <w:uiPriority w:val="0"/>
    <w:pPr>
      <w:widowControl/>
      <w:pBdr>
        <w:bottom w:val="single" w:color="auto" w:sz="12" w:space="0"/>
      </w:pBdr>
      <w:tabs>
        <w:tab w:val="left" w:pos="8020"/>
      </w:tabs>
      <w:adjustRightInd w:val="0"/>
      <w:spacing w:before="100" w:after="100" w:line="360" w:lineRule="auto"/>
      <w:ind w:firstLine="576" w:firstLineChars="200"/>
      <w:jc w:val="center"/>
    </w:pPr>
    <w:rPr>
      <w:rFonts w:ascii="宋体" w:hAnsi="宋体" w:eastAsia="仿宋_GB2312"/>
      <w:spacing w:val="4"/>
      <w:kern w:val="0"/>
      <w:sz w:val="24"/>
    </w:rPr>
  </w:style>
  <w:style w:type="paragraph" w:customStyle="1" w:styleId="39">
    <w:name w:val="纯文本1"/>
    <w:basedOn w:val="1"/>
    <w:qFormat/>
    <w:uiPriority w:val="0"/>
    <w:pPr>
      <w:textAlignment w:val="baseline"/>
    </w:pPr>
    <w:rPr>
      <w:rFonts w:ascii="宋体" w:hAnsi="Courier New"/>
      <w:szCs w:val="20"/>
    </w:rPr>
  </w:style>
  <w:style w:type="paragraph" w:customStyle="1" w:styleId="40">
    <w:name w:val="样式 样式 左 首行缩进:  2 字符 + 首行缩进:  2 字符"/>
    <w:basedOn w:val="1"/>
    <w:qFormat/>
    <w:uiPriority w:val="0"/>
    <w:pPr>
      <w:adjustRightInd w:val="0"/>
      <w:snapToGrid w:val="0"/>
      <w:ind w:left="1134" w:firstLine="480"/>
      <w:jc w:val="left"/>
    </w:pPr>
    <w:rPr>
      <w:rFonts w:cs="宋体"/>
      <w:color w:val="000000"/>
      <w:szCs w:val="20"/>
    </w:rPr>
  </w:style>
  <w:style w:type="paragraph" w:customStyle="1" w:styleId="41">
    <w:name w:val="样式 标题 1 + 四号 段前: 0 磅 段后: 0 磅 行距: 1.5 倍行距"/>
    <w:basedOn w:val="42"/>
    <w:next w:val="43"/>
    <w:qFormat/>
    <w:uiPriority w:val="0"/>
    <w:pPr>
      <w:spacing w:line="360" w:lineRule="auto"/>
      <w:jc w:val="center"/>
    </w:pPr>
    <w:rPr>
      <w:rFonts w:hAnsi="黑体" w:eastAsia="宋体"/>
      <w:sz w:val="21"/>
    </w:rPr>
  </w:style>
  <w:style w:type="paragraph" w:customStyle="1" w:styleId="42">
    <w:name w:val="1正文"/>
    <w:basedOn w:val="1"/>
    <w:qFormat/>
    <w:uiPriority w:val="0"/>
    <w:pPr>
      <w:spacing w:line="500" w:lineRule="exact"/>
      <w:ind w:firstLine="588" w:firstLineChars="196"/>
    </w:pPr>
    <w:rPr>
      <w:rFonts w:eastAsia="楷体_GB2312"/>
      <w:sz w:val="30"/>
      <w:szCs w:val="30"/>
    </w:rPr>
  </w:style>
  <w:style w:type="paragraph" w:customStyle="1" w:styleId="43">
    <w:name w:val="文本正文"/>
    <w:qFormat/>
    <w:uiPriority w:val="0"/>
    <w:pPr>
      <w:adjustRightInd w:val="0"/>
      <w:snapToGrid w:val="0"/>
      <w:spacing w:line="360" w:lineRule="auto"/>
      <w:ind w:firstLine="200" w:firstLineChars="200"/>
    </w:pPr>
    <w:rPr>
      <w:rFonts w:ascii="Times New Roman" w:hAnsi="Times New Roman" w:eastAsia="宋体" w:cs="Times New Roman"/>
      <w:sz w:val="28"/>
      <w:szCs w:val="22"/>
      <w:lang w:val="en-US" w:eastAsia="zh-CN" w:bidi="ar-SA"/>
    </w:rPr>
  </w:style>
  <w:style w:type="paragraph" w:customStyle="1" w:styleId="44">
    <w:name w:val="正文表格"/>
    <w:basedOn w:val="11"/>
    <w:qFormat/>
    <w:uiPriority w:val="0"/>
    <w:pPr>
      <w:tabs>
        <w:tab w:val="center" w:pos="4153"/>
        <w:tab w:val="right" w:pos="8306"/>
      </w:tabs>
      <w:spacing w:line="360" w:lineRule="exact"/>
      <w:jc w:val="center"/>
    </w:pPr>
    <w:rPr>
      <w:rFonts w:ascii="Times New Roman" w:hAnsi="Times New Roman"/>
      <w:sz w:val="21"/>
    </w:rPr>
  </w:style>
  <w:style w:type="paragraph" w:customStyle="1" w:styleId="45">
    <w:name w:val="报告表正文"/>
    <w:basedOn w:val="1"/>
    <w:qFormat/>
    <w:uiPriority w:val="0"/>
    <w:pPr>
      <w:adjustRightInd w:val="0"/>
      <w:spacing w:line="312" w:lineRule="auto"/>
      <w:ind w:left="113" w:right="113" w:firstLine="482"/>
      <w:jc w:val="left"/>
      <w:textAlignment w:val="baseline"/>
    </w:pPr>
    <w:rPr>
      <w:kern w:val="0"/>
      <w:sz w:val="24"/>
    </w:rPr>
  </w:style>
  <w:style w:type="table" w:customStyle="1" w:styleId="46">
    <w:name w:val="网格型1"/>
    <w:basedOn w:val="2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7">
    <w:name w:val="正文样式"/>
    <w:qFormat/>
    <w:uiPriority w:val="0"/>
    <w:pPr>
      <w:tabs>
        <w:tab w:val="right" w:pos="2205"/>
      </w:tabs>
      <w:adjustRightInd w:val="0"/>
      <w:snapToGrid w:val="0"/>
      <w:spacing w:line="520" w:lineRule="exact"/>
      <w:ind w:firstLine="560" w:firstLineChars="200"/>
    </w:pPr>
    <w:rPr>
      <w:rFonts w:ascii="Times New Roman" w:hAnsi="Times New Roman" w:eastAsia="宋体" w:cs="Times New Roman"/>
      <w:bCs/>
      <w:kern w:val="2"/>
      <w:sz w:val="28"/>
      <w:szCs w:val="28"/>
      <w:lang w:val="en-US" w:eastAsia="zh-CN" w:bidi="ar-SA"/>
    </w:rPr>
  </w:style>
  <w:style w:type="paragraph" w:customStyle="1" w:styleId="48">
    <w:name w:val="列出段落1"/>
    <w:basedOn w:val="1"/>
    <w:qFormat/>
    <w:uiPriority w:val="1"/>
    <w:pPr>
      <w:ind w:left="969" w:firstLine="561"/>
    </w:pPr>
    <w:rPr>
      <w:rFonts w:ascii="宋体" w:hAnsi="宋体" w:eastAsia="宋体" w:cs="宋体"/>
      <w:lang w:val="zh-CN" w:bidi="zh-CN"/>
    </w:rPr>
  </w:style>
  <w:style w:type="paragraph" w:customStyle="1" w:styleId="49">
    <w:name w:val="WPSOffice手动目录 1"/>
    <w:qFormat/>
    <w:uiPriority w:val="0"/>
    <w:rPr>
      <w:rFonts w:ascii="Times New Roman" w:hAnsi="Times New Roman" w:eastAsia="宋体" w:cs="Times New Roman"/>
      <w:lang w:val="en-US" w:eastAsia="zh-CN" w:bidi="ar-SA"/>
    </w:rPr>
  </w:style>
  <w:style w:type="paragraph" w:customStyle="1" w:styleId="50">
    <w:name w:val="1jw正文"/>
    <w:qFormat/>
    <w:uiPriority w:val="0"/>
    <w:pPr>
      <w:spacing w:before="50" w:beforeLines="50" w:after="50" w:afterLines="50" w:line="360" w:lineRule="auto"/>
      <w:ind w:firstLine="200" w:firstLineChars="200"/>
    </w:pPr>
    <w:rPr>
      <w:rFonts w:ascii="Times New Roman" w:hAnsi="Times New Roman" w:eastAsia="宋体" w:cs="宋体"/>
      <w:sz w:val="24"/>
      <w:szCs w:val="24"/>
      <w:lang w:val="en-US" w:eastAsia="zh-CN" w:bidi="ar-SA"/>
    </w:rPr>
  </w:style>
  <w:style w:type="paragraph" w:customStyle="1" w:styleId="51">
    <w:name w:val="zhang正文"/>
    <w:basedOn w:val="13"/>
    <w:qFormat/>
    <w:uiPriority w:val="0"/>
    <w:pPr>
      <w:autoSpaceDE w:val="0"/>
      <w:autoSpaceDN w:val="0"/>
      <w:snapToGrid w:val="0"/>
      <w:spacing w:line="500" w:lineRule="exact"/>
      <w:ind w:firstLine="539"/>
    </w:pPr>
    <w:rPr>
      <w:rFonts w:ascii="Times New Roman" w:eastAsia="楷体_GB2312"/>
    </w:rPr>
  </w:style>
  <w:style w:type="paragraph" w:customStyle="1" w:styleId="52">
    <w:name w:val="正文2"/>
    <w:basedOn w:val="6"/>
    <w:qFormat/>
    <w:uiPriority w:val="0"/>
  </w:style>
  <w:style w:type="paragraph" w:customStyle="1" w:styleId="53">
    <w:name w:val="中文报告书样式"/>
    <w:basedOn w:val="1"/>
    <w:qFormat/>
    <w:uiPriority w:val="0"/>
    <w:pPr>
      <w:adjustRightInd w:val="0"/>
      <w:spacing w:line="480" w:lineRule="atLeast"/>
      <w:ind w:firstLine="482"/>
      <w:textAlignment w:val="baseline"/>
    </w:pPr>
    <w:rPr>
      <w:kern w:val="24"/>
      <w:sz w:val="24"/>
      <w:szCs w:val="20"/>
    </w:rPr>
  </w:style>
  <w:style w:type="paragraph" w:customStyle="1" w:styleId="54">
    <w:name w:val="Table Paragraph"/>
    <w:basedOn w:val="1"/>
    <w:qFormat/>
    <w:uiPriority w:val="1"/>
    <w:pPr>
      <w:autoSpaceDE w:val="0"/>
      <w:autoSpaceDN w:val="0"/>
      <w:jc w:val="left"/>
    </w:pPr>
    <w:rPr>
      <w:rFonts w:ascii="宋体" w:hAnsi="宋体" w:eastAsia="宋体" w:cs="宋体"/>
      <w:kern w:val="0"/>
      <w:sz w:val="22"/>
      <w:szCs w:val="22"/>
    </w:rPr>
  </w:style>
  <w:style w:type="paragraph" w:customStyle="1" w:styleId="55">
    <w:name w:val="标题2"/>
    <w:unhideWhenUsed/>
    <w:qFormat/>
    <w:uiPriority w:val="2"/>
    <w:pPr>
      <w:outlineLvl w:val="2"/>
    </w:pPr>
    <w:rPr>
      <w:rFonts w:ascii="Calibri" w:hAnsi="Calibri" w:eastAsia="宋体" w:cs="Times New Roman"/>
      <w:kern w:val="2"/>
      <w:sz w:val="21"/>
      <w:szCs w:val="22"/>
      <w:lang w:val="en-US" w:eastAsia="zh-CN" w:bidi="ar-SA"/>
    </w:rPr>
  </w:style>
  <w:style w:type="paragraph" w:customStyle="1" w:styleId="56">
    <w:name w:val="报告表格"/>
    <w:basedOn w:val="1"/>
    <w:qFormat/>
    <w:uiPriority w:val="0"/>
    <w:pPr>
      <w:autoSpaceDE w:val="0"/>
      <w:autoSpaceDN w:val="0"/>
      <w:adjustRightInd w:val="0"/>
      <w:spacing w:before="40" w:after="40"/>
      <w:jc w:val="center"/>
    </w:pPr>
    <w:rPr>
      <w:kern w:val="0"/>
    </w:rPr>
  </w:style>
  <w:style w:type="paragraph" w:customStyle="1" w:styleId="57">
    <w:name w:val="正文(首行缩进)"/>
    <w:basedOn w:val="1"/>
    <w:qFormat/>
    <w:uiPriority w:val="0"/>
    <w:pPr>
      <w:tabs>
        <w:tab w:val="left" w:pos="6678"/>
      </w:tabs>
      <w:snapToGrid w:val="0"/>
      <w:jc w:val="center"/>
    </w:pPr>
    <w:rPr>
      <w:rFonts w:hint="eastAsia" w:ascii="宋体" w:hAnsi="宋体" w:eastAsia="宋体" w:cs="Times New Roman"/>
      <w:szCs w:val="21"/>
    </w:rPr>
  </w:style>
  <w:style w:type="paragraph" w:customStyle="1" w:styleId="58">
    <w:name w:val="样式4"/>
    <w:basedOn w:val="7"/>
    <w:qFormat/>
    <w:uiPriority w:val="0"/>
    <w:pPr>
      <w:spacing w:line="460" w:lineRule="exact"/>
    </w:pPr>
    <w:rPr>
      <w:rFonts w:ascii="Arial" w:hAnsi="Arial" w:eastAsia="宋体" w:cs="Times New Roman"/>
      <w:szCs w:val="20"/>
    </w:rPr>
  </w:style>
  <w:style w:type="character" w:customStyle="1" w:styleId="59">
    <w:name w:val="NormalCharacter"/>
    <w:qFormat/>
    <w:uiPriority w:val="0"/>
  </w:style>
  <w:style w:type="character" w:customStyle="1" w:styleId="60">
    <w:name w:val="批注框文本 字符"/>
    <w:basedOn w:val="31"/>
    <w:link w:val="19"/>
    <w:qFormat/>
    <w:uiPriority w:val="0"/>
    <w:rPr>
      <w:rFonts w:asciiTheme="minorHAnsi" w:hAnsiTheme="minorHAnsi" w:eastAsiaTheme="minorEastAsia" w:cstheme="minorBidi"/>
      <w:kern w:val="2"/>
      <w:sz w:val="18"/>
      <w:szCs w:val="18"/>
    </w:rPr>
  </w:style>
  <w:style w:type="paragraph" w:customStyle="1" w:styleId="61">
    <w:name w:val="正文（源通）"/>
    <w:basedOn w:val="1"/>
    <w:qFormat/>
    <w:uiPriority w:val="0"/>
    <w:pPr>
      <w:spacing w:line="500" w:lineRule="exact"/>
      <w:ind w:firstLine="480" w:firstLineChars="200"/>
    </w:pPr>
    <w:rPr>
      <w:rFonts w:ascii="Times New Roman" w:hAnsi="Times New Roman" w:eastAsia="Times New Roman" w:cs="Times New Roman"/>
      <w:color w:val="FF0000"/>
    </w:rPr>
  </w:style>
  <w:style w:type="paragraph" w:customStyle="1" w:styleId="62">
    <w:name w:val="表格样式1"/>
    <w:basedOn w:val="1"/>
    <w:qFormat/>
    <w:uiPriority w:val="0"/>
    <w:pPr>
      <w:jc w:val="center"/>
    </w:pPr>
    <w:rPr>
      <w:kern w:val="0"/>
      <w:szCs w:val="21"/>
    </w:rPr>
  </w:style>
  <w:style w:type="paragraph" w:customStyle="1" w:styleId="63">
    <w:name w:val="Other|1"/>
    <w:basedOn w:val="1"/>
    <w:qFormat/>
    <w:uiPriority w:val="0"/>
    <w:pPr>
      <w:spacing w:line="266" w:lineRule="exact"/>
      <w:jc w:val="center"/>
    </w:pPr>
    <w:rPr>
      <w:rFonts w:ascii="宋体" w:hAnsi="宋体" w:eastAsia="宋体" w:cs="宋体"/>
      <w:sz w:val="20"/>
      <w:szCs w:val="20"/>
      <w:lang w:val="zh-TW" w:eastAsia="zh-TW" w:bidi="zh-TW"/>
    </w:rPr>
  </w:style>
  <w:style w:type="paragraph" w:customStyle="1" w:styleId="64">
    <w:name w:val="Table Text"/>
    <w:basedOn w:val="1"/>
    <w:semiHidden/>
    <w:qFormat/>
    <w:uiPriority w:val="0"/>
    <w:rPr>
      <w:rFonts w:ascii="宋体" w:hAnsi="宋体" w:eastAsia="宋体" w:cs="宋体"/>
      <w:sz w:val="24"/>
      <w:lang w:eastAsia="en-US"/>
    </w:rPr>
  </w:style>
  <w:style w:type="table" w:customStyle="1" w:styleId="65">
    <w:name w:val="Table Normal"/>
    <w:semiHidden/>
    <w:unhideWhenUsed/>
    <w:qFormat/>
    <w:uiPriority w:val="0"/>
    <w:tblPr>
      <w:tblCellMar>
        <w:top w:w="0" w:type="dxa"/>
        <w:left w:w="0" w:type="dxa"/>
        <w:bottom w:w="0" w:type="dxa"/>
        <w:right w:w="0" w:type="dxa"/>
      </w:tblCellMar>
    </w:tblPr>
  </w:style>
  <w:style w:type="paragraph" w:customStyle="1" w:styleId="66">
    <w:name w:val="111正文格式111"/>
    <w:qFormat/>
    <w:uiPriority w:val="0"/>
    <w:pPr>
      <w:widowControl w:val="0"/>
      <w:adjustRightInd w:val="0"/>
      <w:snapToGrid w:val="0"/>
      <w:spacing w:line="360" w:lineRule="auto"/>
      <w:ind w:firstLine="200" w:firstLineChars="200"/>
      <w:jc w:val="both"/>
    </w:pPr>
    <w:rPr>
      <w:rFonts w:ascii="Times New Roman" w:hAnsi="Times New Roman" w:eastAsia="宋体" w:cs="Times New Roman"/>
      <w:bCs/>
      <w:kern w:val="2"/>
      <w:sz w:val="24"/>
      <w:szCs w:val="24"/>
      <w:lang w:val="en-US" w:eastAsia="zh-CN" w:bidi="ar-SA"/>
    </w:rPr>
  </w:style>
  <w:style w:type="paragraph" w:customStyle="1" w:styleId="67">
    <w:name w:val="Body text|1"/>
    <w:basedOn w:val="1"/>
    <w:qFormat/>
    <w:uiPriority w:val="0"/>
    <w:pPr>
      <w:spacing w:before="100" w:after="160"/>
      <w:jc w:val="center"/>
    </w:pPr>
    <w:rPr>
      <w:rFonts w:ascii="宋体" w:hAnsi="宋体" w:eastAsia="宋体" w:cs="宋体"/>
      <w:lang w:val="zh-TW" w:eastAsia="zh-TW" w:bidi="zh-TW"/>
    </w:rPr>
  </w:style>
  <w:style w:type="paragraph" w:customStyle="1" w:styleId="68">
    <w:name w:val="报告正文"/>
    <w:basedOn w:val="1"/>
    <w:qFormat/>
    <w:uiPriority w:val="0"/>
    <w:pPr>
      <w:adjustRightInd w:val="0"/>
      <w:snapToGrid w:val="0"/>
      <w:spacing w:before="120" w:beforeLines="50" w:after="120" w:afterLines="50"/>
    </w:pPr>
    <w:rPr>
      <w:spacing w:val="4"/>
      <w:sz w:val="24"/>
    </w:rPr>
  </w:style>
  <w:style w:type="paragraph" w:customStyle="1" w:styleId="69">
    <w:name w:val="11"/>
    <w:basedOn w:val="11"/>
    <w:next w:val="15"/>
    <w:qFormat/>
    <w:uiPriority w:val="0"/>
    <w:pPr>
      <w:autoSpaceDE w:val="0"/>
      <w:autoSpaceDN w:val="0"/>
      <w:adjustRightInd w:val="0"/>
      <w:spacing w:line="360" w:lineRule="auto"/>
      <w:ind w:firstLine="1320" w:firstLineChars="550"/>
      <w:textAlignment w:val="baseline"/>
    </w:pPr>
  </w:style>
  <w:style w:type="paragraph" w:customStyle="1" w:styleId="70">
    <w:name w:val="11111表土"/>
    <w:qFormat/>
    <w:uiPriority w:val="0"/>
    <w:pPr>
      <w:adjustRightInd w:val="0"/>
      <w:snapToGrid w:val="0"/>
      <w:jc w:val="center"/>
    </w:pPr>
    <w:rPr>
      <w:rFonts w:ascii="Times New Roman" w:hAnsi="Times New Roman" w:eastAsia="黑体" w:cs="Times New Roman"/>
      <w:sz w:val="24"/>
      <w:szCs w:val="24"/>
      <w:lang w:val="en-US" w:eastAsia="zh-CN" w:bidi="ar-SA"/>
    </w:rPr>
  </w:style>
  <w:style w:type="paragraph" w:customStyle="1" w:styleId="71">
    <w:name w:val="表哥的格式"/>
    <w:qFormat/>
    <w:uiPriority w:val="0"/>
    <w:pPr>
      <w:widowControl w:val="0"/>
      <w:autoSpaceDE w:val="0"/>
      <w:autoSpaceDN w:val="0"/>
      <w:adjustRightInd w:val="0"/>
      <w:snapToGrid w:val="0"/>
      <w:jc w:val="center"/>
    </w:pPr>
    <w:rPr>
      <w:rFonts w:ascii="Times New Roman" w:hAnsi="Times New Roman" w:eastAsia="宋体" w:cs="Times New Roman"/>
      <w:sz w:val="21"/>
      <w:szCs w:val="21"/>
      <w:lang w:val="en-US" w:eastAsia="zh-CN" w:bidi="ar-SA"/>
    </w:rPr>
  </w:style>
  <w:style w:type="paragraph" w:customStyle="1" w:styleId="72">
    <w:name w:val="表表表表"/>
    <w:qFormat/>
    <w:uiPriority w:val="0"/>
    <w:pPr>
      <w:widowControl w:val="0"/>
      <w:jc w:val="center"/>
    </w:pPr>
    <w:rPr>
      <w:rFonts w:ascii="Times New Roman" w:hAnsi="Times New Roman" w:eastAsia="方正楷体简体" w:cs="Times New Roman"/>
      <w:kern w:val="2"/>
      <w:sz w:val="21"/>
      <w:szCs w:val="21"/>
      <w:lang w:val="en-US" w:eastAsia="zh-CN" w:bidi="ar-SA"/>
    </w:rPr>
  </w:style>
  <w:style w:type="paragraph" w:customStyle="1" w:styleId="73">
    <w:name w:val="表标题"/>
    <w:basedOn w:val="1"/>
    <w:qFormat/>
    <w:uiPriority w:val="0"/>
    <w:pPr>
      <w:framePr w:wrap="around" w:vAnchor="text" w:hAnchor="text" w:y="1"/>
      <w:adjustRightInd w:val="0"/>
      <w:snapToGrid w:val="0"/>
      <w:spacing w:beforeLines="20" w:afterLines="20" w:line="360" w:lineRule="auto"/>
      <w:jc w:val="center"/>
    </w:pPr>
    <w:rPr>
      <w:rFonts w:eastAsia="黑体"/>
      <w:spacing w:val="12"/>
      <w:sz w:val="24"/>
    </w:rPr>
  </w:style>
  <w:style w:type="paragraph" w:customStyle="1" w:styleId="74">
    <w:name w:val="表格数据"/>
    <w:qFormat/>
    <w:uiPriority w:val="0"/>
    <w:pPr>
      <w:widowControl w:val="0"/>
      <w:tabs>
        <w:tab w:val="left" w:pos="3138"/>
      </w:tabs>
      <w:adjustRightInd w:val="0"/>
      <w:snapToGrid w:val="0"/>
      <w:jc w:val="both"/>
    </w:pPr>
    <w:rPr>
      <w:rFonts w:ascii="宋体" w:hAnsi="宋体" w:eastAsia="宋体" w:cs="Times New Roman"/>
      <w:bCs/>
      <w:sz w:val="21"/>
      <w:szCs w:val="21"/>
      <w:lang w:val="en-US" w:eastAsia="zh-CN" w:bidi="ar-SA"/>
    </w:rPr>
  </w:style>
  <w:style w:type="paragraph" w:customStyle="1" w:styleId="75">
    <w:name w:val="表名"/>
    <w:basedOn w:val="1"/>
    <w:qFormat/>
    <w:uiPriority w:val="0"/>
    <w:pPr>
      <w:jc w:val="center"/>
    </w:pPr>
    <w:rPr>
      <w:rFonts w:eastAsia="黑体"/>
      <w:kern w:val="0"/>
    </w:rPr>
  </w:style>
  <w:style w:type="paragraph" w:customStyle="1" w:styleId="76">
    <w:name w:val="样式 样式 小四 段前: 7.8 磅 段后: 7.8 磅 行距: 1.5 倍行距 + 首行缩进:  2 字符"/>
    <w:qFormat/>
    <w:uiPriority w:val="0"/>
    <w:pPr>
      <w:adjustRightInd w:val="0"/>
      <w:snapToGrid w:val="0"/>
      <w:ind w:left="36" w:leftChars="17"/>
    </w:pPr>
    <w:rPr>
      <w:rFonts w:ascii="宋体" w:hAnsi="宋体" w:eastAsia="宋体" w:cs="Times New Roman"/>
      <w:lang w:val="en-US" w:eastAsia="zh-CN" w:bidi="ar-SA"/>
    </w:rPr>
  </w:style>
  <w:style w:type="paragraph" w:customStyle="1" w:styleId="77">
    <w:name w:val="Default1"/>
    <w:next w:val="1"/>
    <w:qFormat/>
    <w:uiPriority w:val="0"/>
    <w:pPr>
      <w:widowControl w:val="0"/>
      <w:autoSpaceDE w:val="0"/>
      <w:autoSpaceDN w:val="0"/>
      <w:adjustRightInd w:val="0"/>
    </w:pPr>
    <w:rPr>
      <w:rFonts w:ascii="宋体" w:hAnsi="Times New Roman" w:eastAsia="宋体" w:cs="宋体"/>
      <w:snapToGrid w:val="0"/>
      <w:color w:val="000000"/>
      <w:sz w:val="24"/>
      <w:szCs w:val="24"/>
      <w:lang w:val="en-US" w:eastAsia="zh-CN" w:bidi="ar-SA"/>
    </w:rPr>
  </w:style>
  <w:style w:type="paragraph" w:customStyle="1" w:styleId="78">
    <w:name w:val="正文（缩进）"/>
    <w:basedOn w:val="57"/>
    <w:next w:val="1"/>
    <w:qFormat/>
    <w:uiPriority w:val="99"/>
    <w:pPr>
      <w:ind w:firstLine="480"/>
    </w:pPr>
  </w:style>
  <w:style w:type="character" w:customStyle="1" w:styleId="79">
    <w:name w:val="要点1 Char"/>
    <w:link w:val="80"/>
    <w:qFormat/>
    <w:uiPriority w:val="0"/>
    <w:rPr>
      <w:rFonts w:hint="eastAsia" w:ascii="Times New Roman" w:hAnsi="Times New Roman" w:eastAsia="宋体" w:cs="Times New Roman"/>
      <w:b/>
      <w:color w:val="auto"/>
      <w:kern w:val="0"/>
      <w:sz w:val="20"/>
      <w:szCs w:val="20"/>
    </w:rPr>
  </w:style>
  <w:style w:type="paragraph" w:customStyle="1" w:styleId="80">
    <w:name w:val="要点1"/>
    <w:basedOn w:val="1"/>
    <w:next w:val="1"/>
    <w:link w:val="79"/>
    <w:qFormat/>
    <w:uiPriority w:val="0"/>
    <w:rPr>
      <w:rFonts w:hint="eastAsia" w:ascii="Times New Roman" w:hAnsi="Times New Roman" w:eastAsia="宋体" w:cs="Times New Roman"/>
      <w:b/>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9" Type="http://schemas.openxmlformats.org/officeDocument/2006/relationships/fontTable" Target="fontTable.xml"/><Relationship Id="rId38" Type="http://schemas.openxmlformats.org/officeDocument/2006/relationships/customXml" Target="../customXml/item2.xml"/><Relationship Id="rId37" Type="http://schemas.openxmlformats.org/officeDocument/2006/relationships/numbering" Target="numbering.xml"/><Relationship Id="rId36" Type="http://schemas.openxmlformats.org/officeDocument/2006/relationships/customXml" Target="../customXml/item1.xml"/><Relationship Id="rId35" Type="http://schemas.openxmlformats.org/officeDocument/2006/relationships/image" Target="media/image18.wmf"/><Relationship Id="rId34" Type="http://schemas.openxmlformats.org/officeDocument/2006/relationships/oleObject" Target="embeddings/oleObject12.bin"/><Relationship Id="rId33" Type="http://schemas.openxmlformats.org/officeDocument/2006/relationships/image" Target="media/image17.wmf"/><Relationship Id="rId32" Type="http://schemas.openxmlformats.org/officeDocument/2006/relationships/oleObject" Target="embeddings/oleObject11.bin"/><Relationship Id="rId31" Type="http://schemas.openxmlformats.org/officeDocument/2006/relationships/image" Target="media/image16.wmf"/><Relationship Id="rId30" Type="http://schemas.openxmlformats.org/officeDocument/2006/relationships/oleObject" Target="embeddings/oleObject10.bin"/><Relationship Id="rId3" Type="http://schemas.openxmlformats.org/officeDocument/2006/relationships/footer" Target="footer1.xml"/><Relationship Id="rId29" Type="http://schemas.openxmlformats.org/officeDocument/2006/relationships/image" Target="media/image15.wmf"/><Relationship Id="rId28" Type="http://schemas.openxmlformats.org/officeDocument/2006/relationships/oleObject" Target="embeddings/oleObject9.bin"/><Relationship Id="rId27" Type="http://schemas.openxmlformats.org/officeDocument/2006/relationships/image" Target="media/image14.wmf"/><Relationship Id="rId26" Type="http://schemas.openxmlformats.org/officeDocument/2006/relationships/oleObject" Target="embeddings/oleObject8.bin"/><Relationship Id="rId25" Type="http://schemas.openxmlformats.org/officeDocument/2006/relationships/image" Target="media/image13.wmf"/><Relationship Id="rId24" Type="http://schemas.openxmlformats.org/officeDocument/2006/relationships/oleObject" Target="embeddings/oleObject7.bin"/><Relationship Id="rId23" Type="http://schemas.openxmlformats.org/officeDocument/2006/relationships/image" Target="media/image12.wmf"/><Relationship Id="rId22" Type="http://schemas.openxmlformats.org/officeDocument/2006/relationships/oleObject" Target="embeddings/oleObject6.bin"/><Relationship Id="rId21" Type="http://schemas.openxmlformats.org/officeDocument/2006/relationships/image" Target="media/image11.png"/><Relationship Id="rId20" Type="http://schemas.openxmlformats.org/officeDocument/2006/relationships/image" Target="media/image10.png"/><Relationship Id="rId2" Type="http://schemas.openxmlformats.org/officeDocument/2006/relationships/settings" Target="settings.xml"/><Relationship Id="rId19" Type="http://schemas.openxmlformats.org/officeDocument/2006/relationships/image" Target="media/image9.wmf"/><Relationship Id="rId18" Type="http://schemas.openxmlformats.org/officeDocument/2006/relationships/oleObject" Target="embeddings/oleObject5.bin"/><Relationship Id="rId17" Type="http://schemas.openxmlformats.org/officeDocument/2006/relationships/image" Target="media/image8.wmf"/><Relationship Id="rId16" Type="http://schemas.openxmlformats.org/officeDocument/2006/relationships/oleObject" Target="embeddings/oleObject4.bin"/><Relationship Id="rId15" Type="http://schemas.openxmlformats.org/officeDocument/2006/relationships/image" Target="media/image7.wmf"/><Relationship Id="rId14" Type="http://schemas.openxmlformats.org/officeDocument/2006/relationships/oleObject" Target="embeddings/oleObject3.bin"/><Relationship Id="rId13" Type="http://schemas.openxmlformats.org/officeDocument/2006/relationships/image" Target="media/image6.wmf"/><Relationship Id="rId12" Type="http://schemas.openxmlformats.org/officeDocument/2006/relationships/oleObject" Target="embeddings/oleObject2.bin"/><Relationship Id="rId11" Type="http://schemas.openxmlformats.org/officeDocument/2006/relationships/image" Target="media/image5.w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extobjs>
    <extobj name="ECB019B1-382A-4266-B25C-5B523AA43C14-1">
      <extobjdata type="ECB019B1-382A-4266-B25C-5B523AA43C14" data="ewoJIkZpbGVJZCIgOiAiMjU3NjkxMjE2MDkwIiwKCSJHcm91cElkIiA6ICIzNTM5OTMxNDkiLAoJIkltYWdlIiA6ICJpVkJPUncwS0dnb0FBQUFOU1VoRVVnQUFCV2NBQUFLaENBWUFBQUE4T0J3N0FBQUFBWE5TUjBJQXJzNGM2UUFBSUFCSlJFRlVlSnpzM1hkOFZGWCsvL0gzblZSSUFxRko2SUdBUUpBU3BDaFZwQWxZVVBZcnV6WkVsTEtLaXJBS3VpQmdXUkJwQ2txUkg0b1VDNGdnb3FBZ3ZRVTJoRUJDVFNJZ1JRSUVTTWdrbVpuNyt5Tm1sbUVtb1RPRXZKNlBodzluempuM3p1Y216T1RPNTU3N09SS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VDYjh2LzVxeHc0UURINTBRQUFBQUJKUlU1RXJrSmdnZz09IiwKCSJUaGVtZSIgOiAiIiwKCSJUeXBlIiA6ICJmbG93IiwKCSJWZXJzaW9uIiA6ICI2OSIKfQo="/>
    </extobj>
  </extobj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F23C14-EB70-4381-A6E3-46F1C93314F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6503</Words>
  <Characters>37070</Characters>
  <Lines>308</Lines>
  <Paragraphs>86</Paragraphs>
  <TotalTime>18</TotalTime>
  <ScaleCrop>false</ScaleCrop>
  <LinksUpToDate>false</LinksUpToDate>
  <CharactersWithSpaces>43487</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2021-03-23T01:03:00Z</dcterms:created>
  <dc:creator>lj</dc:creator>
  <cp:lastModifiedBy>子非鱼</cp:lastModifiedBy>
  <cp:lastPrinted>2023-12-17T09:45:00Z</cp:lastPrinted>
  <dcterms:modified xsi:type="dcterms:W3CDTF">2023-12-19T07:38:51Z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KSOSaveFontToCloudKey">
    <vt:lpwstr>371364142_btnclosed</vt:lpwstr>
  </property>
  <property fmtid="{D5CDD505-2E9C-101B-9397-08002B2CF9AE}" pid="4" name="ICV">
    <vt:lpwstr>C0C1DA8AD26E4191A408AC65C75C24EA_13</vt:lpwstr>
  </property>
  <property fmtid="{D5CDD505-2E9C-101B-9397-08002B2CF9AE}" pid="5" name="commondata">
    <vt:lpwstr>eyJoZGlkIjoiZTRjMWFmYjA0OWNjMDE1YzI1NzhjZjU3Yzc5YjFkMjMifQ==</vt:lpwstr>
  </property>
</Properties>
</file>