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6"/>
          <w:sz w:val="31"/>
          <w:szCs w:val="31"/>
        </w:rPr>
        <w:t>附件1</w:t>
      </w:r>
    </w:p>
    <w:p>
      <w:pPr>
        <w:spacing w:line="376" w:lineRule="auto"/>
        <w:rPr>
          <w:rFonts w:ascii="Arial"/>
          <w:sz w:val="21"/>
        </w:rPr>
      </w:pPr>
    </w:p>
    <w:p>
      <w:pPr>
        <w:spacing w:before="101" w:line="219" w:lineRule="auto"/>
        <w:ind w:left="38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3"/>
          <w:sz w:val="31"/>
          <w:szCs w:val="31"/>
        </w:rPr>
        <w:t>招标方案核准意见</w:t>
      </w:r>
    </w:p>
    <w:p>
      <w:pPr>
        <w:spacing w:line="430" w:lineRule="auto"/>
        <w:rPr>
          <w:rFonts w:ascii="Arial"/>
          <w:sz w:val="21"/>
        </w:rPr>
      </w:pPr>
    </w:p>
    <w:p>
      <w:pPr>
        <w:spacing w:before="81" w:line="219" w:lineRule="auto"/>
        <w:ind w:left="61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3"/>
          <w:sz w:val="25"/>
          <w:szCs w:val="25"/>
        </w:rPr>
        <w:t>建设项目名称：220kV新云变云南凯耀威公司用电项目一期配套110kV间隔扩建工程</w:t>
      </w:r>
    </w:p>
    <w:p>
      <w:pPr>
        <w:spacing w:line="270" w:lineRule="auto"/>
        <w:rPr>
          <w:rFonts w:ascii="Arial"/>
          <w:sz w:val="21"/>
        </w:rPr>
      </w:pPr>
    </w:p>
    <w:p>
      <w:pPr>
        <w:spacing w:before="81" w:line="219" w:lineRule="auto"/>
        <w:ind w:left="61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1"/>
          <w:sz w:val="25"/>
          <w:szCs w:val="25"/>
        </w:rPr>
        <w:t>项目代码：2209-530900-04-0</w:t>
      </w:r>
      <w:r>
        <w:rPr>
          <w:rFonts w:ascii="宋体" w:hAnsi="宋体" w:eastAsia="宋体" w:cs="宋体"/>
          <w:spacing w:val="-12"/>
          <w:sz w:val="25"/>
          <w:szCs w:val="25"/>
        </w:rPr>
        <w:t>1-813497</w:t>
      </w:r>
    </w:p>
    <w:p>
      <w:pPr>
        <w:spacing w:line="148" w:lineRule="exact"/>
      </w:pPr>
    </w:p>
    <w:tbl>
      <w:tblPr>
        <w:tblStyle w:val="4"/>
        <w:tblW w:w="8369" w:type="dxa"/>
        <w:tblInd w:w="7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918"/>
        <w:gridCol w:w="899"/>
        <w:gridCol w:w="899"/>
        <w:gridCol w:w="899"/>
        <w:gridCol w:w="909"/>
        <w:gridCol w:w="899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2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1817" w:type="dxa"/>
            <w:gridSpan w:val="2"/>
            <w:vAlign w:val="top"/>
          </w:tcPr>
          <w:p>
            <w:pPr>
              <w:spacing w:before="195" w:line="220" w:lineRule="auto"/>
              <w:ind w:left="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招标范围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spacing w:before="195" w:line="220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招标组织形式</w:t>
            </w:r>
          </w:p>
        </w:tc>
        <w:tc>
          <w:tcPr>
            <w:tcW w:w="1808" w:type="dxa"/>
            <w:gridSpan w:val="2"/>
            <w:vAlign w:val="top"/>
          </w:tcPr>
          <w:p>
            <w:pPr>
              <w:spacing w:before="195" w:line="220" w:lineRule="auto"/>
              <w:ind w:left="4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招标方式</w:t>
            </w:r>
          </w:p>
        </w:tc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78" w:line="633" w:lineRule="exact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30"/>
                <w:sz w:val="24"/>
                <w:szCs w:val="24"/>
              </w:rPr>
              <w:t>不采用招标</w:t>
            </w:r>
          </w:p>
          <w:p>
            <w:pPr>
              <w:spacing w:before="1" w:line="220" w:lineRule="auto"/>
              <w:ind w:left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5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spacing w:before="199" w:line="591" w:lineRule="exact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27"/>
                <w:sz w:val="24"/>
                <w:szCs w:val="24"/>
              </w:rPr>
              <w:t>全部</w:t>
            </w:r>
          </w:p>
          <w:p>
            <w:pPr>
              <w:spacing w:line="220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99" w:type="dxa"/>
            <w:vAlign w:val="top"/>
          </w:tcPr>
          <w:p>
            <w:pPr>
              <w:spacing w:before="199" w:line="591" w:lineRule="exact"/>
              <w:ind w:left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27"/>
                <w:sz w:val="24"/>
                <w:szCs w:val="24"/>
              </w:rPr>
              <w:t>部分</w:t>
            </w:r>
          </w:p>
          <w:p>
            <w:pPr>
              <w:spacing w:line="220" w:lineRule="auto"/>
              <w:ind w:left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99" w:type="dxa"/>
            <w:vAlign w:val="top"/>
          </w:tcPr>
          <w:p>
            <w:pPr>
              <w:spacing w:before="200" w:line="590" w:lineRule="exact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position w:val="27"/>
                <w:sz w:val="24"/>
                <w:szCs w:val="24"/>
              </w:rPr>
              <w:t>自行</w:t>
            </w:r>
          </w:p>
          <w:p>
            <w:pPr>
              <w:spacing w:line="220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99" w:type="dxa"/>
            <w:vAlign w:val="top"/>
          </w:tcPr>
          <w:p>
            <w:pPr>
              <w:spacing w:before="201" w:line="599" w:lineRule="exact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27"/>
                <w:sz w:val="24"/>
                <w:szCs w:val="24"/>
              </w:rPr>
              <w:t>委托</w:t>
            </w:r>
          </w:p>
          <w:p>
            <w:pPr>
              <w:spacing w:line="22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909" w:type="dxa"/>
            <w:vAlign w:val="top"/>
          </w:tcPr>
          <w:p>
            <w:pPr>
              <w:spacing w:before="171" w:line="629" w:lineRule="exact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30"/>
                <w:sz w:val="24"/>
                <w:szCs w:val="24"/>
              </w:rPr>
              <w:t>公开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99" w:type="dxa"/>
            <w:vAlign w:val="top"/>
          </w:tcPr>
          <w:p>
            <w:pPr>
              <w:spacing w:before="170" w:line="640" w:lineRule="exact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31"/>
                <w:sz w:val="24"/>
                <w:szCs w:val="24"/>
              </w:rPr>
              <w:t>邀请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23" w:type="dxa"/>
            <w:vAlign w:val="top"/>
          </w:tcPr>
          <w:p>
            <w:pPr>
              <w:spacing w:before="161" w:line="219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勘察</w:t>
            </w:r>
          </w:p>
        </w:tc>
        <w:tc>
          <w:tcPr>
            <w:tcW w:w="918" w:type="dxa"/>
            <w:vAlign w:val="top"/>
          </w:tcPr>
          <w:p>
            <w:pPr>
              <w:spacing w:before="207" w:line="238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07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207" w:line="238" w:lineRule="auto"/>
              <w:ind w:left="3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23" w:type="dxa"/>
            <w:vAlign w:val="top"/>
          </w:tcPr>
          <w:p>
            <w:pPr>
              <w:spacing w:before="163" w:line="221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设计</w:t>
            </w:r>
          </w:p>
        </w:tc>
        <w:tc>
          <w:tcPr>
            <w:tcW w:w="918" w:type="dxa"/>
            <w:vAlign w:val="top"/>
          </w:tcPr>
          <w:p>
            <w:pPr>
              <w:spacing w:before="198" w:line="238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98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198" w:line="238" w:lineRule="auto"/>
              <w:ind w:left="3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23" w:type="dxa"/>
            <w:vAlign w:val="top"/>
          </w:tcPr>
          <w:p>
            <w:pPr>
              <w:spacing w:before="163" w:line="220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建筑工程</w:t>
            </w:r>
          </w:p>
        </w:tc>
        <w:tc>
          <w:tcPr>
            <w:tcW w:w="918" w:type="dxa"/>
            <w:vAlign w:val="top"/>
          </w:tcPr>
          <w:p>
            <w:pPr>
              <w:spacing w:before="200" w:line="238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00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200" w:line="238" w:lineRule="auto"/>
              <w:ind w:left="3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23" w:type="dxa"/>
            <w:vAlign w:val="top"/>
          </w:tcPr>
          <w:p>
            <w:pPr>
              <w:spacing w:before="163" w:line="220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安装工程</w:t>
            </w:r>
          </w:p>
        </w:tc>
        <w:tc>
          <w:tcPr>
            <w:tcW w:w="918" w:type="dxa"/>
            <w:vAlign w:val="top"/>
          </w:tcPr>
          <w:p>
            <w:pPr>
              <w:spacing w:before="209" w:line="238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09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209" w:line="238" w:lineRule="auto"/>
              <w:ind w:left="3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23" w:type="dxa"/>
            <w:vAlign w:val="top"/>
          </w:tcPr>
          <w:p>
            <w:pPr>
              <w:spacing w:before="174" w:line="228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监理</w:t>
            </w:r>
          </w:p>
        </w:tc>
        <w:tc>
          <w:tcPr>
            <w:tcW w:w="918" w:type="dxa"/>
            <w:vAlign w:val="top"/>
          </w:tcPr>
          <w:p>
            <w:pPr>
              <w:spacing w:before="210" w:line="238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10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210" w:line="238" w:lineRule="auto"/>
              <w:ind w:left="3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23" w:type="dxa"/>
            <w:vAlign w:val="top"/>
          </w:tcPr>
          <w:p>
            <w:pPr>
              <w:spacing w:before="165" w:line="221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设备</w:t>
            </w:r>
          </w:p>
        </w:tc>
        <w:tc>
          <w:tcPr>
            <w:tcW w:w="918" w:type="dxa"/>
            <w:vAlign w:val="top"/>
          </w:tcPr>
          <w:p>
            <w:pPr>
              <w:spacing w:before="201" w:line="238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01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201" w:line="238" w:lineRule="auto"/>
              <w:ind w:left="3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23" w:type="dxa"/>
            <w:vAlign w:val="top"/>
          </w:tcPr>
          <w:p>
            <w:pPr>
              <w:spacing w:before="162" w:line="219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重要材料</w:t>
            </w:r>
          </w:p>
        </w:tc>
        <w:tc>
          <w:tcPr>
            <w:tcW w:w="918" w:type="dxa"/>
            <w:vAlign w:val="top"/>
          </w:tcPr>
          <w:p>
            <w:pPr>
              <w:spacing w:before="200" w:line="238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200" w:line="238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909" w:type="dxa"/>
            <w:vAlign w:val="top"/>
          </w:tcPr>
          <w:p>
            <w:pPr>
              <w:spacing w:before="200" w:line="238" w:lineRule="auto"/>
              <w:ind w:left="3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23" w:type="dxa"/>
            <w:vAlign w:val="top"/>
          </w:tcPr>
          <w:p>
            <w:pPr>
              <w:spacing w:before="165" w:line="220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spacing w:before="189" w:line="238" w:lineRule="auto"/>
              <w:ind w:left="5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1" w:hRule="atLeast"/>
        </w:trPr>
        <w:tc>
          <w:tcPr>
            <w:tcW w:w="8369" w:type="dxa"/>
            <w:gridSpan w:val="8"/>
            <w:vAlign w:val="top"/>
          </w:tcPr>
          <w:p>
            <w:pPr>
              <w:spacing w:before="116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审批(核准)部门意见：</w:t>
            </w:r>
          </w:p>
          <w:p>
            <w:pPr>
              <w:spacing w:before="84" w:line="259" w:lineRule="auto"/>
              <w:ind w:left="114" w:right="45" w:firstLine="4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根据220</w:t>
            </w:r>
            <w:r>
              <w:rPr>
                <w:rFonts w:ascii="宋体" w:hAnsi="宋体" w:eastAsia="宋体" w:cs="宋体"/>
                <w:sz w:val="24"/>
                <w:szCs w:val="24"/>
              </w:rPr>
              <w:t>kV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新云变云南凯耀威公司用电项目一期配套110</w:t>
            </w:r>
            <w:r>
              <w:rPr>
                <w:rFonts w:ascii="宋体" w:hAnsi="宋体" w:eastAsia="宋体" w:cs="宋体"/>
                <w:sz w:val="24"/>
                <w:szCs w:val="24"/>
              </w:rPr>
              <w:t>kV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间隔扩建工程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招标基本情况表，批复如下：</w:t>
            </w:r>
          </w:p>
          <w:p>
            <w:pPr>
              <w:spacing w:before="85" w:line="219" w:lineRule="auto"/>
              <w:ind w:left="5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1.该项目的勘察、设计、建筑工程、安装工程、监理、设备和重要材料采</w:t>
            </w:r>
          </w:p>
          <w:p>
            <w:pPr>
              <w:spacing w:before="96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3647440</wp:posOffset>
                  </wp:positionH>
                  <wp:positionV relativeFrom="paragraph">
                    <wp:posOffset>194945</wp:posOffset>
                  </wp:positionV>
                  <wp:extent cx="1498600" cy="153035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5" cy="153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用公开招标的方式进入公共资源交易中心组织公开招标。</w:t>
            </w:r>
          </w:p>
          <w:p>
            <w:pPr>
              <w:spacing w:before="103" w:line="219" w:lineRule="auto"/>
              <w:ind w:left="5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2.该项目的其他不采用招标方式，涉及政府采购的，按照政府采购法律法</w:t>
            </w:r>
          </w:p>
          <w:p>
            <w:pPr>
              <w:spacing w:before="87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规规定执行。</w:t>
            </w:r>
          </w:p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9" w:line="219" w:lineRule="auto"/>
              <w:ind w:left="55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>2022年09月27日</w:t>
            </w:r>
          </w:p>
        </w:tc>
      </w:tr>
    </w:tbl>
    <w:p>
      <w:pPr>
        <w:sectPr>
          <w:footerReference r:id="rId5" w:type="default"/>
          <w:pgSz w:w="11900" w:h="16830"/>
          <w:pgMar w:top="988" w:right="1455" w:bottom="1065" w:left="864" w:header="0" w:footer="760" w:gutter="0"/>
          <w:cols w:space="720" w:num="1"/>
        </w:sectPr>
      </w:pPr>
      <w:bookmarkStart w:id="0" w:name="_GoBack"/>
      <w:bookmarkEnd w:id="0"/>
    </w:p>
    <w:p>
      <w:pPr>
        <w:spacing w:line="296" w:lineRule="auto"/>
        <w:rPr>
          <w:rFonts w:ascii="Arial"/>
          <w:sz w:val="21"/>
        </w:rPr>
      </w:pPr>
    </w:p>
    <w:p>
      <w:pPr>
        <w:spacing w:before="97" w:line="224" w:lineRule="auto"/>
        <w:ind w:left="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3"/>
          <w:sz w:val="30"/>
          <w:szCs w:val="30"/>
        </w:rPr>
        <w:t>附件2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140" w:line="218" w:lineRule="auto"/>
        <w:ind w:left="65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7"/>
          <w:sz w:val="43"/>
          <w:szCs w:val="43"/>
        </w:rPr>
        <w:t>电力项目安全管理和质量管控事项告知书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7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sz w:val="30"/>
          <w:szCs w:val="30"/>
        </w:rPr>
        <w:t>云南电网有限责任公司临沧供电局：</w:t>
      </w:r>
    </w:p>
    <w:p>
      <w:pPr>
        <w:spacing w:before="153" w:line="320" w:lineRule="auto"/>
        <w:ind w:right="85" w:firstLine="72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2"/>
          <w:sz w:val="30"/>
          <w:szCs w:val="30"/>
        </w:rPr>
        <w:t>为了进一步加强电力项目的安全管理，有效防范安全生产和</w:t>
      </w:r>
      <w:r>
        <w:rPr>
          <w:rFonts w:ascii="宋体" w:hAnsi="宋体" w:eastAsia="宋体" w:cs="宋体"/>
          <w:spacing w:val="1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8"/>
          <w:sz w:val="30"/>
          <w:szCs w:val="30"/>
        </w:rPr>
        <w:t>质量事故，现就你单位220</w:t>
      </w:r>
      <w:r>
        <w:rPr>
          <w:rFonts w:ascii="宋体" w:hAnsi="宋体" w:eastAsia="宋体" w:cs="宋体"/>
          <w:sz w:val="30"/>
          <w:szCs w:val="30"/>
        </w:rPr>
        <w:t>kV</w:t>
      </w:r>
      <w:r>
        <w:rPr>
          <w:rFonts w:ascii="宋体" w:hAnsi="宋体" w:eastAsia="宋体" w:cs="宋体"/>
          <w:spacing w:val="18"/>
          <w:sz w:val="30"/>
          <w:szCs w:val="30"/>
        </w:rPr>
        <w:t>新云变云南凯耀威公司用电项目一</w:t>
      </w:r>
      <w:r>
        <w:rPr>
          <w:rFonts w:ascii="宋体" w:hAnsi="宋体" w:eastAsia="宋体" w:cs="宋体"/>
          <w:spacing w:val="1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9"/>
          <w:sz w:val="30"/>
          <w:szCs w:val="30"/>
        </w:rPr>
        <w:t>期配套110</w:t>
      </w:r>
      <w:r>
        <w:rPr>
          <w:rFonts w:ascii="宋体" w:hAnsi="宋体" w:eastAsia="宋体" w:cs="宋体"/>
          <w:sz w:val="30"/>
          <w:szCs w:val="30"/>
        </w:rPr>
        <w:t>kV</w:t>
      </w:r>
      <w:r>
        <w:rPr>
          <w:rFonts w:ascii="宋体" w:hAnsi="宋体" w:eastAsia="宋体" w:cs="宋体"/>
          <w:spacing w:val="19"/>
          <w:sz w:val="30"/>
          <w:szCs w:val="30"/>
        </w:rPr>
        <w:t>间隔扩建工程施工安全和质量管控应重点注意的事</w:t>
      </w:r>
    </w:p>
    <w:p>
      <w:pPr>
        <w:spacing w:before="1" w:line="217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"/>
          <w:sz w:val="30"/>
          <w:szCs w:val="30"/>
        </w:rPr>
        <w:t>项告知如下。</w:t>
      </w:r>
    </w:p>
    <w:p>
      <w:pPr>
        <w:tabs>
          <w:tab w:val="left" w:pos="198"/>
        </w:tabs>
        <w:spacing w:before="177" w:line="314" w:lineRule="auto"/>
        <w:ind w:firstLine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9"/>
          <w:sz w:val="30"/>
          <w:szCs w:val="30"/>
        </w:rPr>
        <w:t>一、严格按照《安全生产法》(中华人民共和国主席令第88</w:t>
      </w:r>
      <w:r>
        <w:rPr>
          <w:rFonts w:ascii="宋体" w:hAnsi="宋体" w:eastAsia="宋体" w:cs="宋体"/>
          <w:spacing w:val="1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</w:rPr>
        <w:t>号)、《电力安全生产监督管理办法》(国家发展和改革委员会令</w:t>
      </w:r>
      <w:r>
        <w:rPr>
          <w:rFonts w:ascii="宋体" w:hAnsi="宋体" w:eastAsia="宋体" w:cs="宋体"/>
          <w:spacing w:val="7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3"/>
          <w:sz w:val="30"/>
          <w:szCs w:val="30"/>
        </w:rPr>
        <w:t>第21号)、《电力建设工程施工安全监督管理办法》(国家发展和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35"/>
          <w:sz w:val="30"/>
          <w:szCs w:val="30"/>
        </w:rPr>
        <w:t>改革委员会令第28号)和《电力建设工程施工安全管理导则》</w:t>
      </w:r>
      <w:r>
        <w:rPr>
          <w:rFonts w:ascii="宋体" w:hAnsi="宋体" w:eastAsia="宋体" w:cs="宋体"/>
          <w:spacing w:val="8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ab/>
      </w:r>
      <w:r>
        <w:rPr>
          <w:rFonts w:ascii="宋体" w:hAnsi="宋体" w:eastAsia="宋体" w:cs="宋体"/>
          <w:spacing w:val="15"/>
          <w:sz w:val="30"/>
          <w:szCs w:val="30"/>
        </w:rPr>
        <w:t>(</w:t>
      </w:r>
      <w:r>
        <w:rPr>
          <w:rFonts w:ascii="宋体" w:hAnsi="宋体" w:eastAsia="宋体" w:cs="宋体"/>
          <w:sz w:val="30"/>
          <w:szCs w:val="30"/>
        </w:rPr>
        <w:t>NB</w:t>
      </w:r>
      <w:r>
        <w:rPr>
          <w:rFonts w:ascii="宋体" w:hAnsi="宋体" w:eastAsia="宋体" w:cs="宋体"/>
          <w:spacing w:val="15"/>
          <w:sz w:val="30"/>
          <w:szCs w:val="30"/>
        </w:rPr>
        <w:t>/T10096-2018)等有关法律、法规和标准的规定和要求，切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实落实企业安全生产主体责任。</w:t>
      </w:r>
    </w:p>
    <w:p>
      <w:pPr>
        <w:spacing w:before="203" w:line="511" w:lineRule="exact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0"/>
          <w:position w:val="15"/>
          <w:sz w:val="30"/>
          <w:szCs w:val="30"/>
        </w:rPr>
        <w:t>二、</w:t>
      </w:r>
      <w:r>
        <w:rPr>
          <w:rFonts w:ascii="宋体" w:hAnsi="宋体" w:eastAsia="宋体" w:cs="宋体"/>
          <w:spacing w:val="-53"/>
          <w:position w:val="1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0"/>
          <w:position w:val="15"/>
          <w:sz w:val="30"/>
          <w:szCs w:val="30"/>
        </w:rPr>
        <w:t>应当按要求设置项目安全生产管理机构，配备安全生产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管理人员。</w:t>
      </w:r>
    </w:p>
    <w:p>
      <w:pPr>
        <w:spacing w:before="154" w:line="219" w:lineRule="auto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三、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"/>
          <w:sz w:val="30"/>
          <w:szCs w:val="30"/>
        </w:rPr>
        <w:t>应当开展安全生产教育培训。</w:t>
      </w:r>
    </w:p>
    <w:p>
      <w:pPr>
        <w:spacing w:before="154" w:line="219" w:lineRule="auto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四、</w:t>
      </w:r>
      <w:r>
        <w:rPr>
          <w:rFonts w:ascii="宋体" w:hAnsi="宋体" w:eastAsia="宋体" w:cs="宋体"/>
          <w:spacing w:val="-7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"/>
          <w:sz w:val="30"/>
          <w:szCs w:val="30"/>
        </w:rPr>
        <w:t>应当严格落实安全生产投入。</w:t>
      </w:r>
    </w:p>
    <w:p>
      <w:pPr>
        <w:spacing w:before="154" w:line="219" w:lineRule="auto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1"/>
          <w:sz w:val="30"/>
          <w:szCs w:val="30"/>
        </w:rPr>
        <w:t>五、</w:t>
      </w:r>
      <w:r>
        <w:rPr>
          <w:rFonts w:ascii="宋体" w:hAnsi="宋体" w:eastAsia="宋体" w:cs="宋体"/>
          <w:spacing w:val="-8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1"/>
          <w:sz w:val="30"/>
          <w:szCs w:val="30"/>
        </w:rPr>
        <w:t>应当按要求建立工程分包管控制度和措施，禁</w:t>
      </w:r>
      <w:r>
        <w:rPr>
          <w:rFonts w:ascii="宋体" w:hAnsi="宋体" w:eastAsia="宋体" w:cs="宋体"/>
          <w:spacing w:val="10"/>
          <w:sz w:val="30"/>
          <w:szCs w:val="30"/>
        </w:rPr>
        <w:t>止施工单</w:t>
      </w:r>
    </w:p>
    <w:p>
      <w:pPr>
        <w:spacing w:before="155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7"/>
          <w:sz w:val="30"/>
          <w:szCs w:val="30"/>
        </w:rPr>
        <w:t>位转包或违法分包工程。</w:t>
      </w:r>
    </w:p>
    <w:p>
      <w:pPr>
        <w:spacing w:before="152" w:line="219" w:lineRule="auto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六、</w:t>
      </w:r>
      <w:r>
        <w:rPr>
          <w:rFonts w:ascii="宋体" w:hAnsi="宋体" w:eastAsia="宋体" w:cs="宋体"/>
          <w:spacing w:val="-5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5"/>
          <w:sz w:val="30"/>
          <w:szCs w:val="30"/>
        </w:rPr>
        <w:t>应当组织开展安全风险管控和隐患排查治理工作。</w:t>
      </w:r>
    </w:p>
    <w:p>
      <w:pPr>
        <w:spacing w:before="151" w:line="512" w:lineRule="exact"/>
        <w:ind w:left="6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4"/>
          <w:position w:val="15"/>
          <w:sz w:val="30"/>
          <w:szCs w:val="30"/>
        </w:rPr>
        <w:t>七、应当严格落实应急管理及事故处置措施，及时如实报告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生产安全事故。</w:t>
      </w:r>
    </w:p>
    <w:p>
      <w:pPr>
        <w:sectPr>
          <w:footerReference r:id="rId6" w:type="default"/>
          <w:pgSz w:w="11900" w:h="16830"/>
          <w:pgMar w:top="1430" w:right="1300" w:bottom="1570" w:left="1660" w:header="0" w:footer="1272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7" w:line="320" w:lineRule="auto"/>
        <w:ind w:firstLine="62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9"/>
          <w:sz w:val="30"/>
          <w:szCs w:val="30"/>
        </w:rPr>
        <w:t>八、严格按照《建设工程质量管理条例》(国务院令</w:t>
      </w:r>
      <w:r>
        <w:rPr>
          <w:rFonts w:ascii="宋体" w:hAnsi="宋体" w:eastAsia="宋体" w:cs="宋体"/>
          <w:spacing w:val="8"/>
          <w:sz w:val="30"/>
          <w:szCs w:val="30"/>
        </w:rPr>
        <w:t>第279号)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</w:rPr>
        <w:t>和《国家能源局关于进一步明确电力建设工程质量监督机构业务</w:t>
      </w:r>
      <w:r>
        <w:rPr>
          <w:rFonts w:ascii="宋体" w:hAnsi="宋体" w:eastAsia="宋体" w:cs="宋体"/>
          <w:spacing w:val="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1"/>
          <w:sz w:val="30"/>
          <w:szCs w:val="30"/>
        </w:rPr>
        <w:t>工作的通知》(国能函安全〔2020)39号〕等有关</w:t>
      </w:r>
      <w:r>
        <w:rPr>
          <w:rFonts w:ascii="宋体" w:hAnsi="宋体" w:eastAsia="宋体" w:cs="宋体"/>
          <w:spacing w:val="10"/>
          <w:sz w:val="30"/>
          <w:szCs w:val="30"/>
        </w:rPr>
        <w:t>文件的规定和要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2"/>
          <w:sz w:val="30"/>
          <w:szCs w:val="30"/>
        </w:rPr>
        <w:t>求，开工前必须办理工程质量监督注册手续，并做好工程质量管</w:t>
      </w:r>
    </w:p>
    <w:p>
      <w:pPr>
        <w:spacing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sz w:val="30"/>
          <w:szCs w:val="30"/>
        </w:rPr>
        <w:t>控各项工作。</w:t>
      </w:r>
    </w:p>
    <w:p>
      <w:pPr>
        <w:spacing w:before="171" w:line="321" w:lineRule="auto"/>
        <w:ind w:right="51" w:firstLine="62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3"/>
          <w:sz w:val="30"/>
          <w:szCs w:val="30"/>
        </w:rPr>
        <w:t>若发生违反上述事项的行为，有关部门将依照相关法律、法</w:t>
      </w:r>
      <w:r>
        <w:rPr>
          <w:rFonts w:ascii="宋体" w:hAnsi="宋体" w:eastAsia="宋体" w:cs="宋体"/>
          <w:spacing w:val="1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3"/>
          <w:sz w:val="30"/>
          <w:szCs w:val="30"/>
        </w:rPr>
        <w:t>规和政策规定进行处罚，并将处罚信息纳入被处罚单位的信用记</w:t>
      </w:r>
    </w:p>
    <w:p>
      <w:pPr>
        <w:spacing w:line="221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录。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97" w:line="218" w:lineRule="auto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告知人：临沧市发展和改革委员会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98" w:line="218" w:lineRule="auto"/>
        <w:ind w:left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被告知单位：云南电网有限责任公司临沧供电</w:t>
      </w:r>
      <w:r>
        <w:rPr>
          <w:rFonts w:ascii="宋体" w:hAnsi="宋体" w:eastAsia="宋体" w:cs="宋体"/>
          <w:spacing w:val="7"/>
          <w:sz w:val="30"/>
          <w:szCs w:val="30"/>
        </w:rPr>
        <w:t>局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8" w:line="219" w:lineRule="auto"/>
        <w:ind w:left="46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6"/>
          <w:sz w:val="30"/>
          <w:szCs w:val="30"/>
        </w:rPr>
        <w:t>2022年10月21</w:t>
      </w:r>
      <w:r>
        <w:rPr>
          <w:rFonts w:ascii="宋体" w:hAnsi="宋体" w:eastAsia="宋体" w:cs="宋体"/>
          <w:spacing w:val="-4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6"/>
          <w:sz w:val="30"/>
          <w:szCs w:val="30"/>
        </w:rPr>
        <w:t>日</w:t>
      </w:r>
    </w:p>
    <w:p>
      <w:pPr>
        <w:sectPr>
          <w:footerReference r:id="rId7" w:type="default"/>
          <w:pgSz w:w="11900" w:h="16830"/>
          <w:pgMar w:top="1430" w:right="1414" w:bottom="1987" w:left="1650" w:header="0" w:footer="1721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79" w:lineRule="exact"/>
      </w:pPr>
    </w:p>
    <w:tbl>
      <w:tblPr>
        <w:tblStyle w:val="4"/>
        <w:tblW w:w="886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4"/>
        <w:gridCol w:w="428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886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240" w:line="561" w:lineRule="exact"/>
              <w:ind w:left="29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position w:val="22"/>
                <w:sz w:val="26"/>
                <w:szCs w:val="26"/>
              </w:rPr>
              <w:t>抄送：临沧市生态环境局、临沧市林业和草原局、临沧市应急管理局、临</w:t>
            </w:r>
          </w:p>
          <w:p>
            <w:pPr>
              <w:spacing w:line="188" w:lineRule="auto"/>
              <w:ind w:left="54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8"/>
                <w:sz w:val="26"/>
                <w:szCs w:val="26"/>
              </w:rPr>
              <w:t>沧市自然资源规划局、临沧市水务局，云县发展改革局。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58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322" w:line="185" w:lineRule="auto"/>
              <w:ind w:left="17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5"/>
                <w:sz w:val="26"/>
                <w:szCs w:val="26"/>
              </w:rPr>
              <w:t>临沧市发展和改革委员会办公室</w:t>
            </w:r>
          </w:p>
        </w:tc>
        <w:tc>
          <w:tcPr>
            <w:tcW w:w="4285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1" w:line="191" w:lineRule="auto"/>
              <w:ind w:left="5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0</w:t>
            </w:r>
            <w:r>
              <w:rPr>
                <w:rFonts w:ascii="宋体" w:hAnsi="宋体" w:eastAsia="宋体" w:cs="宋体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2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-2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0</w:t>
            </w:r>
            <w:r>
              <w:rPr>
                <w:rFonts w:ascii="宋体" w:hAnsi="宋体" w:eastAsia="宋体" w:cs="宋体"/>
                <w:spacing w:val="-1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2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</w:t>
            </w:r>
            <w:r>
              <w:rPr>
                <w:rFonts w:ascii="宋体" w:hAnsi="宋体" w:eastAsia="宋体" w:cs="宋体"/>
                <w:spacing w:val="2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日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印</w:t>
            </w:r>
            <w:r>
              <w:rPr>
                <w:rFonts w:ascii="宋体" w:hAnsi="宋体" w:eastAsia="宋体" w:cs="宋体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8" w:type="default"/>
      <w:pgSz w:w="11900" w:h="16830"/>
      <w:pgMar w:top="1430" w:right="1380" w:bottom="1559" w:left="1650" w:header="0" w:footer="12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3"/>
        <w:w w:val="58"/>
        <w:sz w:val="31"/>
        <w:szCs w:val="31"/>
      </w:rPr>
      <w:t>—5—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—6—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329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—7—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Q3OWE0NGQ2ZTUxMGMxM2Y1YzJjZTMxMzgzYzk2MmEifQ=="/>
  </w:docVars>
  <w:rsids>
    <w:rsidRoot w:val="00000000"/>
    <w:rsid w:val="42E03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2305</Words>
  <Characters>2507</Characters>
  <TotalTime>10</TotalTime>
  <ScaleCrop>false</ScaleCrop>
  <LinksUpToDate>false</LinksUpToDate>
  <CharactersWithSpaces>2594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2022-11-17T16:28:00Z</dcterms:created>
  <dc:creator>Kingsoft-PDF</dc:creator>
  <cp:keywords>6375f0a0c1ea6f0016612a18</cp:keywords>
  <cp:lastModifiedBy>Administrator</cp:lastModifiedBy>
  <dcterms:modified xsi:type="dcterms:W3CDTF">2022-11-24T07:52:09Z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2022-11-17T16:28:27Z</vt:filetime>
  </property>
  <property fmtid="{D5CDD505-2E9C-101B-9397-08002B2CF9AE}" pid="4" name="KSOProductBuildVer">
    <vt:lpwstr>2052-11.1.0.12598</vt:lpwstr>
  </property>
  <property fmtid="{D5CDD505-2E9C-101B-9397-08002B2CF9AE}" pid="5" name="ICV">
    <vt:lpwstr>5CD9F1FC66464B9E908DA614A027C9E9</vt:lpwstr>
  </property>
</Properties>
</file>