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临环审〔202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182</w:t>
      </w:r>
      <w:r>
        <w:rPr>
          <w:rFonts w:hint="eastAsia" w:ascii="仿宋_GB2312" w:hAnsi="仿宋_GB2312" w:eastAsia="仿宋_GB2312" w:cs="仿宋_GB2312"/>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true"/>
                    </wps:wsp>
                  </a:graphicData>
                </a:graphic>
              </wp:anchor>
            </w:drawing>
          </mc:Choice>
          <mc:Fallback>
            <w:pict>
              <v:line id="_x0000_s1026" o:spid="_x0000_s1026" o:spt="20" style="position:absolute;left:0pt;margin-left:1.5pt;margin-top:9.15pt;height:0pt;width:450pt;z-index:251664384;mso-width-relative:page;mso-height-relative:page;" filled="f" stroked="t" coordsize="21600,21600" o:gfxdata="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Xk/k00gAAAAcBAAAPAAAAAAAAAAEAIAAAADgAAABkcnMvZG93bnJl&#10;di54bWxQSwECFAAUAAAACACHTuJA+DhheO0BAAC4AwAADgAAAAAAAAABACAAAAA3AQAAZHJzL2Uy&#10;b0RvYy54bWxQSwUGAAAAAAYABgBZAQAAlgU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b/>
          <w:color w:val="auto"/>
          <w:sz w:val="44"/>
          <w:szCs w:val="44"/>
          <w:highlight w:val="none"/>
          <w:lang w:eastAsia="zh-CN"/>
        </w:rPr>
      </w:pPr>
      <w:r>
        <w:rPr>
          <w:rFonts w:hint="eastAsia" w:ascii="方正小标宋_GBK" w:hAnsi="方正小标宋_GBK" w:eastAsia="方正小标宋_GBK" w:cs="方正小标宋_GBK"/>
          <w:b/>
          <w:color w:val="auto"/>
          <w:sz w:val="44"/>
          <w:szCs w:val="44"/>
          <w:highlight w:val="none"/>
        </w:rPr>
        <w:t>临沧市生态环境局关于</w:t>
      </w:r>
      <w:r>
        <w:rPr>
          <w:rFonts w:hint="eastAsia" w:ascii="方正小标宋_GBK" w:hAnsi="方正小标宋_GBK" w:eastAsia="方正小标宋_GBK" w:cs="方正小标宋_GBK"/>
          <w:b/>
          <w:color w:val="auto"/>
          <w:sz w:val="44"/>
          <w:szCs w:val="44"/>
          <w:highlight w:val="none"/>
          <w:lang w:eastAsia="zh-CN"/>
        </w:rPr>
        <w:t>临沧市双江县畜禽定点屠宰及配套加工建设项目环境影响</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b/>
          <w:color w:val="auto"/>
          <w:sz w:val="44"/>
          <w:szCs w:val="44"/>
          <w:highlight w:val="none"/>
          <w:lang w:eastAsia="zh-CN"/>
        </w:rPr>
        <w:t>报告书</w:t>
      </w:r>
      <w:r>
        <w:rPr>
          <w:rFonts w:hint="eastAsia" w:ascii="方正小标宋_GBK" w:hAnsi="方正小标宋_GBK" w:eastAsia="方正小标宋_GBK" w:cs="方正小标宋_GBK"/>
          <w:b/>
          <w:color w:val="auto"/>
          <w:sz w:val="44"/>
          <w:szCs w:val="44"/>
          <w:highlight w:val="none"/>
        </w:rPr>
        <w:t>的批复</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双江振兴乡镇建设投资开发有限公司</w:t>
      </w:r>
      <w:r>
        <w:rPr>
          <w:rFonts w:hint="default"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你</w:t>
      </w:r>
      <w:r>
        <w:rPr>
          <w:rFonts w:hint="eastAsia" w:ascii="仿宋_GB2312" w:hAnsi="仿宋_GB2312" w:eastAsia="仿宋_GB2312" w:cs="仿宋_GB2312"/>
          <w:color w:val="auto"/>
          <w:sz w:val="32"/>
          <w:szCs w:val="32"/>
          <w:lang w:eastAsia="zh-CN"/>
        </w:rPr>
        <w:t>公司</w:t>
      </w:r>
      <w:r>
        <w:rPr>
          <w:rFonts w:hint="default" w:ascii="仿宋_GB2312" w:hAnsi="仿宋_GB2312" w:eastAsia="仿宋_GB2312" w:cs="仿宋_GB2312"/>
          <w:color w:val="auto"/>
          <w:sz w:val="32"/>
          <w:szCs w:val="32"/>
          <w:lang w:eastAsia="zh-CN"/>
        </w:rPr>
        <w:t>申请报批的《</w:t>
      </w:r>
      <w:r>
        <w:rPr>
          <w:rFonts w:hint="eastAsia" w:ascii="仿宋_GB2312" w:hAnsi="仿宋_GB2312" w:eastAsia="仿宋_GB2312" w:cs="仿宋_GB2312"/>
          <w:color w:val="auto"/>
          <w:sz w:val="32"/>
          <w:szCs w:val="32"/>
          <w:lang w:eastAsia="zh-CN"/>
        </w:rPr>
        <w:t>临沧市双江县畜禽定点屠宰及配套加工建设项目</w:t>
      </w:r>
      <w:r>
        <w:rPr>
          <w:rFonts w:hint="default" w:ascii="仿宋_GB2312" w:hAnsi="仿宋_GB2312" w:eastAsia="仿宋_GB2312" w:cs="仿宋_GB2312"/>
          <w:color w:val="auto"/>
          <w:sz w:val="32"/>
          <w:szCs w:val="32"/>
          <w:lang w:eastAsia="zh-CN"/>
        </w:rPr>
        <w:t>环境影响评价</w:t>
      </w:r>
      <w:r>
        <w:rPr>
          <w:rFonts w:hint="eastAsia" w:ascii="仿宋_GB2312" w:hAnsi="仿宋_GB2312" w:eastAsia="仿宋_GB2312" w:cs="仿宋_GB2312"/>
          <w:color w:val="auto"/>
          <w:sz w:val="32"/>
          <w:szCs w:val="32"/>
          <w:lang w:eastAsia="zh-CN"/>
        </w:rPr>
        <w:t>报告书</w:t>
      </w:r>
      <w:bookmarkStart w:id="0" w:name="_GoBack"/>
      <w:bookmarkEnd w:id="0"/>
      <w:r>
        <w:rPr>
          <w:rFonts w:hint="default" w:ascii="仿宋_GB2312" w:hAnsi="仿宋_GB2312" w:eastAsia="仿宋_GB2312" w:cs="仿宋_GB2312"/>
          <w:color w:val="auto"/>
          <w:sz w:val="32"/>
          <w:szCs w:val="32"/>
          <w:lang w:eastAsia="zh-CN"/>
        </w:rPr>
        <w:t>》（以下简称《</w:t>
      </w:r>
      <w:r>
        <w:rPr>
          <w:rFonts w:hint="eastAsia" w:ascii="仿宋_GB2312" w:hAnsi="仿宋_GB2312" w:eastAsia="仿宋_GB2312" w:cs="仿宋_GB2312"/>
          <w:color w:val="auto"/>
          <w:sz w:val="32"/>
          <w:szCs w:val="32"/>
          <w:lang w:eastAsia="zh-CN"/>
        </w:rPr>
        <w:t>报告书</w:t>
      </w:r>
      <w:r>
        <w:rPr>
          <w:rFonts w:hint="default" w:ascii="仿宋_GB2312" w:hAnsi="仿宋_GB2312" w:eastAsia="仿宋_GB2312" w:cs="仿宋_GB2312"/>
          <w:color w:val="auto"/>
          <w:sz w:val="32"/>
          <w:szCs w:val="32"/>
          <w:lang w:eastAsia="zh-CN"/>
        </w:rPr>
        <w:t>》）收悉。</w:t>
      </w:r>
      <w:r>
        <w:rPr>
          <w:rFonts w:hint="eastAsia" w:ascii="仿宋_GB2312" w:hAnsi="仿宋_GB2312" w:eastAsia="仿宋_GB2312" w:cs="仿宋_GB2312"/>
          <w:color w:val="auto"/>
          <w:sz w:val="32"/>
          <w:szCs w:val="32"/>
          <w:lang w:eastAsia="zh-CN"/>
        </w:rPr>
        <w:t>现</w:t>
      </w:r>
      <w:r>
        <w:rPr>
          <w:rFonts w:hint="default" w:ascii="仿宋_GB2312" w:hAnsi="仿宋_GB2312" w:eastAsia="仿宋_GB2312" w:cs="仿宋_GB2312"/>
          <w:color w:val="auto"/>
          <w:sz w:val="32"/>
          <w:szCs w:val="32"/>
          <w:lang w:eastAsia="zh-CN"/>
        </w:rPr>
        <w:t>批复如下：</w:t>
      </w:r>
    </w:p>
    <w:p>
      <w:pPr>
        <w:keepNext w:val="0"/>
        <w:keepLines w:val="0"/>
        <w:pageBreakBefore w:val="0"/>
        <w:widowControl w:val="0"/>
        <w:kinsoku/>
        <w:wordWrap/>
        <w:overflowPunct/>
        <w:autoSpaceDE/>
        <w:autoSpaceDN/>
        <w:bidi w:val="0"/>
        <w:adjustRightInd/>
        <w:snapToGrid/>
        <w:spacing w:line="560" w:lineRule="exact"/>
        <w:ind w:firstLine="602" w:firstLineChars="200"/>
        <w:textAlignment w:val="auto"/>
        <w:rPr>
          <w:rFonts w:hint="eastAsia" w:ascii="黑体" w:hAnsi="黑体" w:eastAsia="黑体" w:cs="黑体"/>
          <w:b/>
          <w:bCs/>
          <w:color w:val="auto"/>
          <w:sz w:val="30"/>
          <w:szCs w:val="30"/>
          <w:highlight w:val="none"/>
        </w:rPr>
      </w:pPr>
      <w:r>
        <w:rPr>
          <w:rFonts w:hint="eastAsia" w:ascii="黑体" w:hAnsi="黑体" w:eastAsia="黑体" w:cs="黑体"/>
          <w:b/>
          <w:bCs/>
          <w:color w:val="auto"/>
          <w:sz w:val="30"/>
          <w:szCs w:val="30"/>
          <w:highlight w:val="none"/>
          <w:lang w:eastAsia="zh-CN"/>
        </w:rPr>
        <w:t>一、</w:t>
      </w:r>
      <w:r>
        <w:rPr>
          <w:rFonts w:hint="eastAsia" w:ascii="黑体" w:hAnsi="黑体" w:eastAsia="黑体" w:cs="黑体"/>
          <w:b/>
          <w:bCs/>
          <w:color w:val="auto"/>
          <w:sz w:val="30"/>
          <w:szCs w:val="30"/>
          <w:highlight w:val="none"/>
        </w:rPr>
        <w:t>项目基本情况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项目位于临沧市双江自治县勐勐镇闷乐村闷乐组，项目中心点地理坐标为东经99°48'23.475"，北纬23°26'55.021"。项目建设性质为新建，占地面积23652m</w:t>
      </w:r>
      <w:r>
        <w:rPr>
          <w:rFonts w:hint="eastAsia" w:ascii="仿宋_GB2312" w:hAnsi="仿宋_GB2312" w:eastAsia="仿宋_GB2312" w:cs="仿宋_GB2312"/>
          <w:color w:val="auto"/>
          <w:sz w:val="32"/>
          <w:szCs w:val="32"/>
          <w:vertAlign w:val="superscript"/>
          <w:lang w:eastAsia="zh-CN"/>
        </w:rPr>
        <w:t>2</w:t>
      </w:r>
      <w:r>
        <w:rPr>
          <w:rFonts w:hint="eastAsia" w:ascii="仿宋_GB2312" w:hAnsi="仿宋_GB2312" w:eastAsia="仿宋_GB2312" w:cs="仿宋_GB2312"/>
          <w:color w:val="auto"/>
          <w:sz w:val="32"/>
          <w:szCs w:val="32"/>
          <w:lang w:eastAsia="zh-CN"/>
        </w:rPr>
        <w:t>，全厂总建筑面积7756.6m</w:t>
      </w:r>
      <w:r>
        <w:rPr>
          <w:rFonts w:hint="eastAsia" w:ascii="仿宋_GB2312" w:hAnsi="仿宋_GB2312" w:eastAsia="仿宋_GB2312" w:cs="仿宋_GB2312"/>
          <w:color w:val="auto"/>
          <w:sz w:val="32"/>
          <w:szCs w:val="32"/>
          <w:vertAlign w:val="superscript"/>
          <w:lang w:eastAsia="zh-CN"/>
        </w:rPr>
        <w:t>2</w:t>
      </w:r>
      <w:r>
        <w:rPr>
          <w:rFonts w:hint="eastAsia" w:ascii="仿宋_GB2312" w:hAnsi="仿宋_GB2312" w:eastAsia="仿宋_GB2312" w:cs="仿宋_GB2312"/>
          <w:color w:val="auto"/>
          <w:sz w:val="32"/>
          <w:szCs w:val="32"/>
          <w:lang w:eastAsia="zh-CN"/>
        </w:rPr>
        <w:t>。建设内容为</w:t>
      </w:r>
      <w:r>
        <w:rPr>
          <w:rFonts w:hint="eastAsia" w:ascii="仿宋_GB2312" w:hAnsi="仿宋_GB2312" w:eastAsia="仿宋_GB2312" w:cs="仿宋_GB2312"/>
          <w:color w:val="auto"/>
          <w:sz w:val="32"/>
          <w:szCs w:val="32"/>
          <w:lang w:val="en-US" w:eastAsia="zh-CN"/>
        </w:rPr>
        <w:t>猪、牛、家禽三条屠宰生产线，其中生猪屠宰量15万头/年，牛屠宰量2万头/年，家禽屠宰量20万羽/年</w:t>
      </w:r>
      <w:r>
        <w:rPr>
          <w:rFonts w:hint="eastAsia" w:ascii="仿宋_GB2312" w:hAnsi="仿宋_GB2312" w:eastAsia="仿宋_GB2312" w:cs="仿宋_GB2312"/>
          <w:color w:val="auto"/>
          <w:sz w:val="32"/>
          <w:szCs w:val="32"/>
          <w:lang w:eastAsia="zh-CN"/>
        </w:rPr>
        <w:t>。项目总投资</w:t>
      </w:r>
      <w:r>
        <w:rPr>
          <w:rFonts w:hint="eastAsia" w:ascii="仿宋_GB2312" w:hAnsi="仿宋_GB2312" w:eastAsia="仿宋_GB2312" w:cs="仿宋_GB2312"/>
          <w:color w:val="auto"/>
          <w:sz w:val="32"/>
          <w:szCs w:val="32"/>
          <w:lang w:val="en-US" w:eastAsia="zh-CN"/>
        </w:rPr>
        <w:t>5955.12万元，环保投资估算总计为655.36万元，占项目总投资的11.0%。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该《报告书》可作为该项目环境保护设计、建设、验收和运行环境管理的依据。项目建设符合国家及云南省对建设项目环境影响评价文件审批的有关规定，不存在工程建设的重大环境制约因素，市生态环境局同意按照《报告书》所述的环境保护对策措施方案建设。</w:t>
      </w:r>
    </w:p>
    <w:p>
      <w:pPr>
        <w:keepNext w:val="0"/>
        <w:keepLines w:val="0"/>
        <w:pageBreakBefore w:val="0"/>
        <w:widowControl w:val="0"/>
        <w:kinsoku/>
        <w:wordWrap/>
        <w:overflowPunct/>
        <w:autoSpaceDE/>
        <w:autoSpaceDN/>
        <w:bidi w:val="0"/>
        <w:adjustRightInd/>
        <w:snapToGrid/>
        <w:spacing w:line="560" w:lineRule="exact"/>
        <w:ind w:firstLine="602" w:firstLineChars="200"/>
        <w:textAlignment w:val="auto"/>
        <w:rPr>
          <w:rFonts w:hint="default" w:ascii="黑体" w:hAnsi="黑体" w:eastAsia="黑体" w:cs="黑体"/>
          <w:b/>
          <w:bCs/>
          <w:color w:val="auto"/>
          <w:sz w:val="30"/>
          <w:szCs w:val="30"/>
          <w:highlight w:val="none"/>
        </w:rPr>
      </w:pPr>
      <w:r>
        <w:rPr>
          <w:rFonts w:hint="default" w:ascii="黑体" w:hAnsi="黑体" w:eastAsia="黑体" w:cs="黑体"/>
          <w:b/>
          <w:bCs/>
          <w:color w:val="auto"/>
          <w:sz w:val="30"/>
          <w:szCs w:val="30"/>
          <w:highlight w:val="none"/>
        </w:rPr>
        <w:t>二、项目建设</w:t>
      </w:r>
      <w:r>
        <w:rPr>
          <w:rFonts w:hint="eastAsia" w:ascii="黑体" w:hAnsi="黑体" w:eastAsia="黑体" w:cs="黑体"/>
          <w:b/>
          <w:bCs/>
          <w:color w:val="auto"/>
          <w:sz w:val="30"/>
          <w:szCs w:val="30"/>
          <w:highlight w:val="none"/>
          <w:lang w:eastAsia="zh-CN"/>
        </w:rPr>
        <w:t>和生产过程中应当做好的</w:t>
      </w:r>
      <w:r>
        <w:rPr>
          <w:rFonts w:hint="default" w:ascii="黑体" w:hAnsi="黑体" w:eastAsia="黑体" w:cs="黑体"/>
          <w:b/>
          <w:bCs/>
          <w:color w:val="auto"/>
          <w:sz w:val="30"/>
          <w:szCs w:val="30"/>
          <w:highlight w:val="none"/>
        </w:rPr>
        <w:t>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（一）请你公司严格对照《报告书》提出的各项污染防治措施及要求落实。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环境影响评价文件</w:t>
      </w:r>
      <w:r>
        <w:rPr>
          <w:rFonts w:hint="eastAsia" w:ascii="仿宋_GB2312" w:hAnsi="仿宋_GB2312" w:eastAsia="仿宋_GB2312" w:cs="仿宋_GB2312"/>
          <w:color w:val="auto"/>
          <w:sz w:val="32"/>
          <w:szCs w:val="32"/>
        </w:rPr>
        <w:t>经批准后，如工程的性质、规模、工艺、地点或者防治污染、防止生态破坏的措施发生重大变动的，建设</w:t>
      </w:r>
      <w:r>
        <w:rPr>
          <w:rFonts w:hint="eastAsia" w:ascii="仿宋_GB2312" w:hAnsi="仿宋_GB2312" w:eastAsia="仿宋_GB2312" w:cs="仿宋_GB2312"/>
          <w:color w:val="auto"/>
          <w:sz w:val="32"/>
          <w:szCs w:val="32"/>
          <w:lang w:eastAsia="zh-CN"/>
        </w:rPr>
        <w:t>公司</w:t>
      </w:r>
      <w:r>
        <w:rPr>
          <w:rFonts w:hint="eastAsia" w:ascii="仿宋_GB2312" w:hAnsi="仿宋_GB2312" w:eastAsia="仿宋_GB2312" w:cs="仿宋_GB2312"/>
          <w:color w:val="auto"/>
          <w:sz w:val="32"/>
          <w:szCs w:val="32"/>
        </w:rPr>
        <w:t>应当重新报批</w:t>
      </w:r>
      <w:r>
        <w:rPr>
          <w:rFonts w:hint="eastAsia" w:ascii="仿宋_GB2312" w:hAnsi="仿宋_GB2312" w:eastAsia="仿宋_GB2312" w:cs="仿宋_GB2312"/>
          <w:color w:val="auto"/>
          <w:sz w:val="32"/>
          <w:szCs w:val="32"/>
          <w:lang w:eastAsia="zh-CN"/>
        </w:rPr>
        <w:t>环境影响评价文件</w:t>
      </w:r>
      <w:r>
        <w:rPr>
          <w:rFonts w:hint="eastAsia" w:ascii="仿宋_GB2312" w:hAnsi="仿宋_GB2312" w:eastAsia="仿宋_GB2312" w:cs="仿宋_GB2312"/>
          <w:color w:val="auto"/>
          <w:sz w:val="32"/>
          <w:szCs w:val="32"/>
        </w:rPr>
        <w:t>，否则不得实施建设。自环评</w:t>
      </w:r>
      <w:r>
        <w:rPr>
          <w:rFonts w:hint="eastAsia" w:ascii="仿宋_GB2312" w:hAnsi="仿宋_GB2312" w:eastAsia="仿宋_GB2312" w:cs="仿宋_GB2312"/>
          <w:color w:val="auto"/>
          <w:sz w:val="32"/>
          <w:szCs w:val="32"/>
          <w:lang w:eastAsia="zh-CN"/>
        </w:rPr>
        <w:t>批复</w:t>
      </w:r>
      <w:r>
        <w:rPr>
          <w:rFonts w:hint="eastAsia" w:ascii="仿宋_GB2312" w:hAnsi="仿宋_GB2312" w:eastAsia="仿宋_GB2312" w:cs="仿宋_GB2312"/>
          <w:color w:val="auto"/>
          <w:sz w:val="32"/>
          <w:szCs w:val="32"/>
        </w:rPr>
        <w:t>文件批准之日起，如工程超过5年未开工建设，</w:t>
      </w:r>
      <w:r>
        <w:rPr>
          <w:rFonts w:hint="eastAsia" w:ascii="仿宋_GB2312" w:hAnsi="仿宋_GB2312" w:eastAsia="仿宋_GB2312" w:cs="仿宋_GB2312"/>
          <w:color w:val="auto"/>
          <w:sz w:val="32"/>
          <w:szCs w:val="32"/>
          <w:lang w:eastAsia="zh-CN"/>
        </w:rPr>
        <w:t>环境影响评价文件</w:t>
      </w:r>
      <w:r>
        <w:rPr>
          <w:rFonts w:hint="eastAsia" w:ascii="仿宋_GB2312" w:hAnsi="仿宋_GB2312" w:eastAsia="仿宋_GB2312" w:cs="仿宋_GB2312"/>
          <w:color w:val="auto"/>
          <w:sz w:val="32"/>
          <w:szCs w:val="32"/>
        </w:rPr>
        <w:t>应当报我局重新审核。</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四）请你公司按照《突发环境事件应急预案管理暂行办法》的要求，强化环境风险管理，制定环境风险应急预案并报市生态环境局双江分局备案；落实各项环境风险防范和应急处置设施（措施），做好日常环境应急演练和培训，开展环境监测，保障环境安全</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项目竣工后，</w:t>
      </w:r>
      <w:r>
        <w:rPr>
          <w:rFonts w:hint="eastAsia" w:ascii="仿宋_GB2312" w:hAnsi="仿宋_GB2312" w:eastAsia="仿宋_GB2312" w:cs="仿宋_GB2312"/>
          <w:color w:val="auto"/>
          <w:sz w:val="32"/>
          <w:szCs w:val="32"/>
          <w:lang w:eastAsia="zh-CN"/>
        </w:rPr>
        <w:t>建设公司</w:t>
      </w:r>
      <w:r>
        <w:rPr>
          <w:rFonts w:hint="eastAsia" w:ascii="仿宋_GB2312" w:hAnsi="仿宋_GB2312" w:eastAsia="仿宋_GB2312" w:cs="仿宋_GB2312"/>
          <w:color w:val="auto"/>
          <w:sz w:val="32"/>
          <w:szCs w:val="32"/>
        </w:rPr>
        <w:t>要依照《建设项目竣工环境保护验收暂行办法》有关规定，组织对配套建设的环境保护设施进行验收，</w:t>
      </w:r>
      <w:r>
        <w:rPr>
          <w:rFonts w:hint="eastAsia" w:ascii="仿宋_GB2312" w:hAnsi="仿宋_GB2312" w:eastAsia="仿宋_GB2312" w:cs="仿宋_GB2312"/>
          <w:color w:val="auto"/>
          <w:sz w:val="32"/>
          <w:szCs w:val="32"/>
          <w:lang w:eastAsia="zh-CN"/>
        </w:rPr>
        <w:t>并将</w:t>
      </w:r>
      <w:r>
        <w:rPr>
          <w:rFonts w:hint="eastAsia" w:ascii="仿宋_GB2312" w:hAnsi="仿宋_GB2312" w:eastAsia="仿宋_GB2312" w:cs="仿宋_GB2312"/>
          <w:color w:val="auto"/>
          <w:sz w:val="32"/>
          <w:szCs w:val="32"/>
        </w:rPr>
        <w:t>相关信息向社会公开</w:t>
      </w:r>
      <w:r>
        <w:rPr>
          <w:rFonts w:hint="eastAsia" w:ascii="仿宋_GB2312" w:hAnsi="仿宋_GB2312" w:eastAsia="仿宋_GB2312" w:cs="仿宋_GB2312"/>
          <w:color w:val="auto"/>
          <w:sz w:val="32"/>
          <w:szCs w:val="32"/>
          <w:lang w:eastAsia="zh-CN"/>
        </w:rPr>
        <w:t>，同时将上述信息报送市生态环境局双江分局。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w:t>
      </w:r>
      <w:r>
        <w:rPr>
          <w:rFonts w:hint="eastAsia" w:ascii="仿宋_GB2312" w:hAnsi="仿宋_GB2312" w:eastAsia="仿宋_GB2312" w:cs="仿宋_GB2312"/>
          <w:color w:val="auto"/>
          <w:sz w:val="32"/>
          <w:szCs w:val="32"/>
          <w:lang w:eastAsia="zh-CN"/>
        </w:rPr>
        <w:t>公司</w:t>
      </w:r>
      <w:r>
        <w:rPr>
          <w:rFonts w:hint="eastAsia" w:ascii="仿宋_GB2312" w:hAnsi="仿宋_GB2312" w:eastAsia="仿宋_GB2312" w:cs="仿宋_GB2312"/>
          <w:color w:val="auto"/>
          <w:spacing w:val="0"/>
          <w:sz w:val="32"/>
          <w:szCs w:val="32"/>
          <w:lang w:val="en-US" w:eastAsia="zh-CN"/>
        </w:rPr>
        <w:t>在</w:t>
      </w:r>
      <w:r>
        <w:rPr>
          <w:rFonts w:hint="default" w:ascii="仿宋_GB2312" w:hAnsi="仿宋_GB2312" w:eastAsia="仿宋_GB2312" w:cs="仿宋_GB2312"/>
          <w:kern w:val="0"/>
          <w:sz w:val="32"/>
          <w:szCs w:val="32"/>
          <w:lang w:val="en-US" w:eastAsia="zh-CN" w:bidi="ar-SA"/>
        </w:rPr>
        <w:t>启动生产设施或者发生实际排污行为之前依法申请取得排污许可证</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未取得排污许可证前</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不得</w:t>
      </w:r>
      <w:r>
        <w:rPr>
          <w:rFonts w:hint="eastAsia" w:eastAsia="仿宋_GB2312" w:cs="Times New Roman"/>
          <w:color w:val="auto"/>
          <w:sz w:val="32"/>
          <w:szCs w:val="32"/>
          <w:lang w:val="en-US" w:eastAsia="zh-CN"/>
        </w:rPr>
        <w:t>排污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Times New Roman" w:hAnsi="Times New Roman" w:eastAsia="仿宋_GB2312" w:cs="Times New Roman"/>
          <w:color w:val="auto"/>
          <w:sz w:val="32"/>
          <w:szCs w:val="32"/>
          <w:lang w:val="en-US" w:eastAsia="zh-CN"/>
        </w:rPr>
        <w:t>（七）</w:t>
      </w:r>
      <w:r>
        <w:rPr>
          <w:rFonts w:hint="eastAsia" w:ascii="仿宋_GB2312" w:hAnsi="仿宋_GB2312" w:eastAsia="仿宋_GB2312" w:cs="仿宋_GB2312"/>
          <w:color w:val="auto"/>
          <w:sz w:val="32"/>
          <w:szCs w:val="32"/>
          <w:lang w:eastAsia="zh-CN"/>
        </w:rPr>
        <w:t>临沧市生态环境局双江分局要切实履行属地监管职责，按照相关法律法规及《关于进一步完善建设项目环境保护“三同时”及竣工环境保护自主验收监管工作机制的意见》（环执法</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70号</w:t>
      </w:r>
      <w:r>
        <w:rPr>
          <w:rFonts w:hint="eastAsia" w:ascii="仿宋_GB2312" w:hAnsi="仿宋_GB2312" w:eastAsia="仿宋_GB2312" w:cs="仿宋_GB2312"/>
          <w:color w:val="auto"/>
          <w:sz w:val="32"/>
          <w:szCs w:val="32"/>
          <w:lang w:eastAsia="zh-CN"/>
        </w:rPr>
        <w:t>）要求，加强对该项目环境保护“三同时”及自主验收监管。</w:t>
      </w:r>
    </w:p>
    <w:p>
      <w:pPr>
        <w:pStyle w:val="10"/>
        <w:keepNext w:val="0"/>
        <w:keepLines w:val="0"/>
        <w:pageBreakBefore w:val="0"/>
        <w:widowControl w:val="0"/>
        <w:kinsoku/>
        <w:wordWrap/>
        <w:overflowPunct/>
        <w:autoSpaceDE/>
        <w:autoSpaceDN/>
        <w:bidi w:val="0"/>
        <w:adjustRightInd/>
        <w:snapToGrid/>
        <w:spacing w:line="560" w:lineRule="exact"/>
        <w:textAlignment w:val="auto"/>
        <w:rPr>
          <w:rFonts w:hint="eastAsia" w:eastAsia="华文仿宋"/>
          <w:lang w:eastAsia="zh-CN"/>
        </w:rPr>
      </w:pPr>
      <w:r>
        <w:rPr>
          <w:rFonts w:hint="eastAsia" w:ascii="Times New Roman" w:hAnsi="Times New Roman" w:eastAsia="仿宋_GB2312" w:cs="Times New Roman"/>
          <w:b/>
          <w:bCs/>
          <w:color w:val="auto"/>
          <w:sz w:val="30"/>
          <w:szCs w:val="30"/>
          <w:highlight w:val="none"/>
          <w:lang w:val="en-US" w:eastAsia="zh-CN"/>
        </w:rPr>
        <w:t xml:space="preserve"> </w:t>
      </w:r>
    </w:p>
    <w:p>
      <w:pPr>
        <w:keepNext w:val="0"/>
        <w:keepLines w:val="0"/>
        <w:pageBreakBefore w:val="0"/>
        <w:widowControl w:val="0"/>
        <w:kinsoku/>
        <w:wordWrap/>
        <w:overflowPunct/>
        <w:autoSpaceDE/>
        <w:autoSpaceDN/>
        <w:bidi w:val="0"/>
        <w:adjustRightInd/>
        <w:snapToGrid/>
        <w:spacing w:line="560" w:lineRule="exact"/>
        <w:ind w:firstLine="5440" w:firstLineChars="1700"/>
        <w:textAlignment w:val="auto"/>
        <w:rPr>
          <w:rFonts w:hint="default" w:ascii="Times New Roman" w:hAnsi="Times New Roman" w:eastAsia="仿宋_GB2312" w:cs="Times New Roman"/>
          <w:color w:val="auto"/>
          <w:sz w:val="32"/>
          <w:szCs w:val="32"/>
          <w:highlight w:val="none"/>
        </w:rPr>
      </w:pPr>
    </w:p>
    <w:p>
      <w:pPr>
        <w:pStyle w:val="2"/>
        <w:rPr>
          <w:rFonts w:hint="default"/>
        </w:rPr>
      </w:pPr>
    </w:p>
    <w:p>
      <w:pPr>
        <w:keepNext w:val="0"/>
        <w:keepLines w:val="0"/>
        <w:pageBreakBefore w:val="0"/>
        <w:widowControl w:val="0"/>
        <w:kinsoku/>
        <w:wordWrap/>
        <w:overflowPunct/>
        <w:autoSpaceDE/>
        <w:autoSpaceDN/>
        <w:bidi w:val="0"/>
        <w:adjustRightInd/>
        <w:snapToGrid/>
        <w:spacing w:line="560" w:lineRule="exact"/>
        <w:ind w:firstLine="5440" w:firstLineChars="17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eastAsia="zh-CN"/>
        </w:rPr>
        <w:t>临沧市生态环境局</w:t>
      </w:r>
    </w:p>
    <w:p>
      <w:pPr>
        <w:keepNext w:val="0"/>
        <w:keepLines w:val="0"/>
        <w:pageBreakBefore w:val="0"/>
        <w:widowControl w:val="0"/>
        <w:kinsoku/>
        <w:wordWrap/>
        <w:overflowPunct/>
        <w:autoSpaceDE/>
        <w:autoSpaceDN/>
        <w:bidi w:val="0"/>
        <w:adjustRightInd/>
        <w:snapToGrid/>
        <w:spacing w:line="560" w:lineRule="exact"/>
        <w:ind w:firstLine="5440" w:firstLineChars="170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32"/>
          <w:szCs w:val="32"/>
          <w:highlight w:val="none"/>
        </w:rPr>
        <w:t xml:space="preserve"> 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日</w:t>
      </w:r>
    </w:p>
    <w:p>
      <w:pPr>
        <w:pStyle w:val="2"/>
        <w:rPr>
          <w:rFonts w:hint="default" w:ascii="Times New Roman" w:hAnsi="Times New Roman" w:cs="Times New Roman"/>
          <w:color w:val="auto"/>
          <w:szCs w:val="24"/>
          <w:highlight w:val="none"/>
          <w:lang w:val="en-US" w:eastAsia="zh-CN"/>
        </w:rPr>
      </w:pPr>
    </w:p>
    <w:p>
      <w:pPr>
        <w:pStyle w:val="4"/>
        <w:rPr>
          <w:rFonts w:hint="default" w:ascii="Times New Roman" w:hAnsi="Times New Roman" w:cs="Times New Roman"/>
          <w:color w:val="auto"/>
          <w:szCs w:val="24"/>
          <w:highlight w:val="none"/>
          <w:lang w:val="en-US" w:eastAsia="zh-CN"/>
        </w:rPr>
      </w:pPr>
    </w:p>
    <w:p>
      <w:pPr>
        <w:rPr>
          <w:rFonts w:hint="default" w:ascii="Times New Roman" w:hAnsi="Times New Roman" w:cs="Times New Roman"/>
          <w:color w:val="auto"/>
          <w:szCs w:val="24"/>
          <w:highlight w:val="none"/>
          <w:lang w:val="en-US" w:eastAsia="zh-CN"/>
        </w:rPr>
      </w:pPr>
    </w:p>
    <w:p>
      <w:pPr>
        <w:pStyle w:val="10"/>
        <w:rPr>
          <w:rFonts w:hint="default" w:ascii="Times New Roman" w:hAnsi="Times New Roman" w:cs="Times New Roman"/>
          <w:color w:val="auto"/>
          <w:szCs w:val="24"/>
          <w:highlight w:val="none"/>
          <w:lang w:val="en-US" w:eastAsia="zh-CN"/>
        </w:rPr>
      </w:pPr>
    </w:p>
    <w:p>
      <w:pPr>
        <w:pStyle w:val="9"/>
        <w:rPr>
          <w:rFonts w:hint="default" w:ascii="Times New Roman" w:hAnsi="Times New Roman" w:cs="Times New Roman"/>
          <w:color w:val="auto"/>
          <w:szCs w:val="24"/>
          <w:highlight w:val="none"/>
          <w:lang w:val="en-US" w:eastAsia="zh-CN"/>
        </w:rPr>
      </w:pPr>
    </w:p>
    <w:p>
      <w:pPr>
        <w:rPr>
          <w:rFonts w:hint="default" w:ascii="Times New Roman" w:hAnsi="Times New Roman" w:cs="Times New Roman"/>
          <w:color w:val="auto"/>
          <w:szCs w:val="24"/>
          <w:highlight w:val="none"/>
          <w:lang w:val="en-US" w:eastAsia="zh-CN"/>
        </w:rPr>
      </w:pPr>
    </w:p>
    <w:p>
      <w:pPr>
        <w:pStyle w:val="10"/>
        <w:rPr>
          <w:rFonts w:hint="default" w:ascii="Times New Roman" w:hAnsi="Times New Roman" w:cs="Times New Roman"/>
          <w:color w:val="auto"/>
          <w:szCs w:val="24"/>
          <w:highlight w:val="none"/>
          <w:lang w:val="en-US" w:eastAsia="zh-CN"/>
        </w:rPr>
      </w:pPr>
    </w:p>
    <w:p>
      <w:pPr>
        <w:pStyle w:val="9"/>
        <w:rPr>
          <w:rFonts w:hint="default" w:ascii="Times New Roman" w:hAnsi="Times New Roman" w:cs="Times New Roman"/>
          <w:color w:val="auto"/>
          <w:szCs w:val="24"/>
          <w:highlight w:val="none"/>
          <w:lang w:val="en-US" w:eastAsia="zh-CN"/>
        </w:rPr>
      </w:pPr>
    </w:p>
    <w:p>
      <w:pPr>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rPr>
          <w:rFonts w:hint="default" w:ascii="Times New Roman" w:hAnsi="Times New Roman" w:cs="Times New Roman"/>
          <w:color w:val="auto"/>
          <w:szCs w:val="24"/>
          <w:highlight w:val="none"/>
          <w:lang w:val="en-US" w:eastAsia="zh-CN"/>
        </w:rPr>
      </w:pPr>
    </w:p>
    <w:p>
      <w:pPr>
        <w:pStyle w:val="2"/>
        <w:ind w:left="0" w:leftChars="0" w:firstLine="0" w:firstLineChars="0"/>
        <w:rPr>
          <w:rFonts w:hint="default" w:ascii="Times New Roman" w:hAnsi="Times New Roman" w:cs="Times New Roman"/>
          <w:color w:val="auto"/>
          <w:szCs w:val="24"/>
          <w:highlight w:val="none"/>
          <w:lang w:val="en-US" w:eastAsia="zh-CN"/>
        </w:rPr>
      </w:pPr>
    </w:p>
    <w:p>
      <w:pPr>
        <w:pStyle w:val="9"/>
        <w:spacing w:before="0" w:after="0" w:line="240" w:lineRule="auto"/>
        <w:ind w:right="0" w:firstLine="0"/>
        <w:jc w:val="distribute"/>
        <w:rPr>
          <w:rFonts w:hint="default"/>
          <w:lang w:val="en-US" w:eastAsia="zh-CN"/>
        </w:rPr>
      </w:pPr>
    </w:p>
    <w:p>
      <w:pPr>
        <w:rPr>
          <w:rFonts w:hint="default"/>
          <w:lang w:val="en-US" w:eastAsia="zh-CN"/>
        </w:rPr>
      </w:pPr>
    </w:p>
    <w:p>
      <w:pPr>
        <w:keepLines w:val="0"/>
        <w:pageBreakBefore w:val="0"/>
        <w:kinsoku/>
        <w:wordWrap/>
        <w:overflowPunct/>
        <w:topLinePunct w:val="0"/>
        <w:autoSpaceDE/>
        <w:autoSpaceDN/>
        <w:bidi w:val="0"/>
        <w:adjustRightInd/>
        <w:snapToGrid/>
        <w:spacing w:line="240" w:lineRule="auto"/>
        <w:ind w:right="0" w:rightChars="0" w:firstLine="280" w:firstLineChars="100"/>
        <w:textAlignment w:val="auto"/>
        <w:rPr>
          <w:rFonts w:hint="default" w:ascii="Times New Roman" w:hAnsi="Times New Roman" w:eastAsia="仿宋_GB2312" w:cs="Times New Roman"/>
          <w:color w:val="auto"/>
          <w:sz w:val="28"/>
          <w:szCs w:val="28"/>
          <w:highlight w:val="none"/>
        </w:rPr>
      </w:pPr>
      <w:r>
        <w:rPr>
          <w:rFonts w:ascii="Times New Roman" w:hAnsi="Times New Roman" w:cs="Times New Roman"/>
          <w:color w:val="auto"/>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20320</wp:posOffset>
                </wp:positionV>
                <wp:extent cx="5600700" cy="0"/>
                <wp:effectExtent l="0" t="4445" r="0" b="5080"/>
                <wp:wrapNone/>
                <wp:docPr id="4" name="直线 5"/>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true"/>
                    </wps:wsp>
                  </a:graphicData>
                </a:graphic>
              </wp:anchor>
            </w:drawing>
          </mc:Choice>
          <mc:Fallback>
            <w:pict>
              <v:line id="直线 5" o:spid="_x0000_s1026" o:spt="20" style="position:absolute;left:0pt;margin-left:0pt;margin-top:1.6pt;height:0pt;width:441pt;z-index:251663360;mso-width-relative:page;mso-height-relative:page;" filled="f" stroked="t" coordsize="21600,21600" o:gfxdata="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HUEKjDTAAAA&#10;BAEAAA8AAAAAAAAAAQAgAAAAOAAAAGRycy9kb3ducmV2LnhtbFBLAQIUABQAAAAIAIdO4kAkTsPC&#10;0wEAAJ4DAAAOAAAAAAAAAAEAIAAAADgBAABkcnMvZTJvRG9jLnhtbFBLBQYAAAAABgAGAFkBAAB9&#10;BQAAAAA=&#10;">
                <v:fill on="f" focussize="0,0"/>
                <v:stroke weight="0.35pt" color="#000000" joinstyle="round"/>
                <v:imagedata o:title=""/>
                <o:lock v:ext="edit" aspectratio="f"/>
              </v:line>
            </w:pict>
          </mc:Fallback>
        </mc:AlternateContent>
      </w:r>
      <w:r>
        <w:rPr>
          <w:rFonts w:ascii="Times New Roman" w:hAnsi="Times New Roman" w:cs="Times New Roman"/>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396240</wp:posOffset>
                </wp:positionV>
                <wp:extent cx="635" cy="0"/>
                <wp:effectExtent l="0" t="4445" r="0" b="5080"/>
                <wp:wrapNone/>
                <wp:docPr id="2" name="直线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2" o:spid="_x0000_s1026" o:spt="20" style="position:absolute;left:0pt;margin-left:-9pt;margin-top:31.2pt;height:0pt;width:0.05pt;z-index:251660288;mso-width-relative:page;mso-height-relative:page;" filled="f" stroked="t" coordsize="21600,21600" o:gfxdata="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FEmEADXAAAA&#10;CQEAAA8AAAAAAAAAAQAgAAAAOAAAAGRycy9kb3ducmV2LnhtbFBLAQIUABQAAAAIAIdO4kAZrrbH&#10;zwEAAJoDAAAOAAAAAAAAAAEAIAAAADwBAABkcnMvZTJvRG9jLnhtbFBLBQYAAAAABgAGAFkBAAB9&#10;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z w:val="28"/>
          <w:szCs w:val="28"/>
          <w:highlight w:val="none"/>
        </w:rPr>
        <w:t>抄送：</w:t>
      </w:r>
      <w:r>
        <w:rPr>
          <w:rFonts w:hint="eastAsia" w:ascii="Times New Roman" w:hAnsi="Times New Roman" w:eastAsia="仿宋_GB2312" w:cs="Times New Roman"/>
          <w:color w:val="auto"/>
          <w:sz w:val="28"/>
          <w:szCs w:val="28"/>
          <w:highlight w:val="none"/>
          <w:lang w:eastAsia="zh-CN"/>
        </w:rPr>
        <w:t>市农业农村局，</w:t>
      </w:r>
      <w:r>
        <w:rPr>
          <w:rFonts w:hint="default" w:ascii="Times New Roman" w:hAnsi="Times New Roman" w:eastAsia="仿宋_GB2312" w:cs="Times New Roman"/>
          <w:color w:val="auto"/>
          <w:sz w:val="28"/>
          <w:szCs w:val="28"/>
          <w:highlight w:val="none"/>
        </w:rPr>
        <w:t>市生态环境局各科、室、支队、中心、站、</w:t>
      </w:r>
    </w:p>
    <w:p>
      <w:pPr>
        <w:keepLines w:val="0"/>
        <w:pageBreakBefore w:val="0"/>
        <w:kinsoku/>
        <w:wordWrap/>
        <w:overflowPunct/>
        <w:topLinePunct w:val="0"/>
        <w:autoSpaceDE/>
        <w:autoSpaceDN/>
        <w:bidi w:val="0"/>
        <w:adjustRightInd/>
        <w:snapToGrid/>
        <w:spacing w:line="240" w:lineRule="auto"/>
        <w:ind w:right="0" w:rightChars="0" w:firstLine="1120" w:firstLineChars="400"/>
        <w:textAlignment w:val="auto"/>
        <w:rPr>
          <w:rFonts w:hint="eastAsia"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lang w:eastAsia="zh-CN"/>
        </w:rPr>
        <w:t>双江</w:t>
      </w:r>
      <w:r>
        <w:rPr>
          <w:rFonts w:hint="default" w:ascii="Times New Roman" w:hAnsi="Times New Roman" w:eastAsia="仿宋_GB2312" w:cs="Times New Roman"/>
          <w:color w:val="auto"/>
          <w:sz w:val="28"/>
          <w:szCs w:val="28"/>
          <w:highlight w:val="none"/>
          <w:lang w:eastAsia="zh-CN"/>
        </w:rPr>
        <w:t>分局</w:t>
      </w: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firstLine="280" w:firstLineChars="100"/>
        <w:jc w:val="left"/>
        <w:textAlignment w:val="auto"/>
        <w:outlineLvl w:val="9"/>
      </w:pPr>
      <w:r>
        <w:rPr>
          <w:rFonts w:ascii="Times New Roman" w:hAnsi="Times New Roman" w:cs="Times New Roman"/>
          <w:color w:val="auto"/>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53340</wp:posOffset>
                </wp:positionV>
                <wp:extent cx="5600700" cy="0"/>
                <wp:effectExtent l="0" t="4445" r="0" b="5080"/>
                <wp:wrapNone/>
                <wp:docPr id="3" name="直线 3"/>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a:effectLst/>
                      </wps:spPr>
                      <wps:bodyPr upright="true"/>
                    </wps:wsp>
                  </a:graphicData>
                </a:graphic>
              </wp:anchor>
            </w:drawing>
          </mc:Choice>
          <mc:Fallback>
            <w:pict>
              <v:line id="直线 3" o:spid="_x0000_s1026" o:spt="20" style="position:absolute;left:0pt;margin-left:0pt;margin-top:4.2pt;height:0pt;width:441pt;z-index:251661312;mso-width-relative:page;mso-height-relative:page;" filled="f" stroked="t" coordsize="21600,21600" o:gfxdata="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Hrh/bTTAAAA&#10;BAEAAA8AAAAAAAAAAQAgAAAAOAAAAGRycy9kb3ducmV2LnhtbFBLAQIUABQAAAAIAIdO4kCxPoKg&#10;0wEAAJ4DAAAOAAAAAAAAAAEAIAAAADgBAABkcnMvZTJvRG9jLnhtbFBLBQYAAAAABgAGAFkBAAB9&#10;BQAAAAA=&#10;">
                <v:fill on="f" focussize="0,0"/>
                <v:stroke weight="0.25pt" color="#000000" joinstyle="round"/>
                <v:imagedata o:title=""/>
                <o:lock v:ext="edit" aspectratio="f"/>
              </v:line>
            </w:pict>
          </mc:Fallback>
        </mc:AlternateContent>
      </w:r>
      <w:r>
        <w:rPr>
          <w:rFonts w:ascii="Times New Roman" w:hAnsi="Times New Roman" w:cs="Times New Roman"/>
          <w:color w:val="auto"/>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350520</wp:posOffset>
                </wp:positionV>
                <wp:extent cx="5600700" cy="0"/>
                <wp:effectExtent l="0" t="4445" r="0" b="5080"/>
                <wp:wrapNone/>
                <wp:docPr id="5" name="直线 4"/>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true"/>
                    </wps:wsp>
                  </a:graphicData>
                </a:graphic>
              </wp:anchor>
            </w:drawing>
          </mc:Choice>
          <mc:Fallback>
            <w:pict>
              <v:line id="直线 4" o:spid="_x0000_s1026" o:spt="20" style="position:absolute;left:0pt;margin-left:0pt;margin-top:27.6pt;height:0pt;width:441pt;z-index:251662336;mso-width-relative:page;mso-height-relative:page;" filled="f" stroked="t" coordsize="21600,21600" o:gfxdata="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AWh89LV&#10;AAAABgEAAA8AAAAAAAAAAQAgAAAAOAAAAGRycy9kb3ducmV2LnhtbFBLAQIUABQAAAAIAIdO4kAA&#10;yhwn1AEAAJ4DAAAOAAAAAAAAAAEAIAAAADoBAABkcnMvZTJvRG9jLnhtbFBLBQYAAAAABgAGAFkB&#10;AACABQAAAAA=&#10;">
                <v:fill on="f" focussize="0,0"/>
                <v:stroke weight="0.35pt" color="#000000" joinstyle="round"/>
                <v:imagedata o:title=""/>
                <o:lock v:ext="edit" aspectratio="f"/>
              </v:line>
            </w:pict>
          </mc:Fallback>
        </mc:AlternateContent>
      </w:r>
      <w:r>
        <w:rPr>
          <w:rFonts w:hint="default" w:ascii="Times New Roman" w:hAnsi="Times New Roman" w:eastAsia="仿宋_GB2312" w:cs="Times New Roman"/>
          <w:color w:val="auto"/>
          <w:sz w:val="28"/>
          <w:szCs w:val="28"/>
          <w:highlight w:val="none"/>
        </w:rPr>
        <w:t>临沧市生态环境局</w:t>
      </w:r>
      <w:r>
        <w:rPr>
          <w:rFonts w:ascii="Times New Roman" w:hAnsi="Times New Roman" w:eastAsia="仿宋_GB2312" w:cs="Times New Roman"/>
          <w:color w:val="auto"/>
          <w:sz w:val="28"/>
          <w:szCs w:val="28"/>
          <w:highlight w:val="none"/>
        </w:rPr>
        <w:t xml:space="preserve">                </w:t>
      </w:r>
      <w:r>
        <w:rPr>
          <w:rFonts w:hint="eastAsia" w:ascii="Times New Roman" w:hAnsi="Times New Roman" w:eastAsia="仿宋_GB2312" w:cs="Times New Roman"/>
          <w:color w:val="auto"/>
          <w:sz w:val="28"/>
          <w:szCs w:val="28"/>
          <w:highlight w:val="none"/>
          <w:lang w:val="en-US" w:eastAsia="zh-CN"/>
        </w:rPr>
        <w:t xml:space="preserve">   </w:t>
      </w:r>
      <w:r>
        <w:rPr>
          <w:rFonts w:ascii="Times New Roman" w:hAnsi="Times New Roman" w:eastAsia="仿宋_GB2312" w:cs="Times New Roman"/>
          <w:color w:val="auto"/>
          <w:sz w:val="28"/>
          <w:szCs w:val="28"/>
          <w:highlight w:val="none"/>
        </w:rPr>
        <w:t xml:space="preserve">   </w:t>
      </w:r>
      <w:r>
        <w:rPr>
          <w:rFonts w:hint="eastAsia" w:ascii="Times New Roman" w:hAnsi="Times New Roman" w:eastAsia="仿宋_GB2312" w:cs="Times New Roman"/>
          <w:color w:val="auto"/>
          <w:sz w:val="28"/>
          <w:szCs w:val="28"/>
          <w:highlight w:val="none"/>
          <w:lang w:val="en-US" w:eastAsia="zh-CN"/>
        </w:rPr>
        <w:t xml:space="preserve"> </w:t>
      </w:r>
      <w:r>
        <w:rPr>
          <w:rFonts w:ascii="Times New Roman" w:hAnsi="Times New Roman" w:eastAsia="仿宋_GB2312" w:cs="Times New Roman"/>
          <w:color w:val="auto"/>
          <w:sz w:val="28"/>
          <w:szCs w:val="28"/>
          <w:highlight w:val="none"/>
        </w:rPr>
        <w:t xml:space="preserve">   20</w:t>
      </w:r>
      <w:r>
        <w:rPr>
          <w:rFonts w:hint="default" w:ascii="Times New Roman" w:hAnsi="Times New Roman" w:eastAsia="仿宋_GB2312" w:cs="Times New Roman"/>
          <w:color w:val="auto"/>
          <w:sz w:val="28"/>
          <w:szCs w:val="28"/>
          <w:highlight w:val="none"/>
          <w:lang w:val="en-US" w:eastAsia="zh-CN"/>
        </w:rPr>
        <w:t>2</w:t>
      </w:r>
      <w:r>
        <w:rPr>
          <w:rFonts w:hint="eastAsia" w:ascii="Times New Roman" w:hAnsi="Times New Roman" w:eastAsia="仿宋_GB2312" w:cs="Times New Roman"/>
          <w:color w:val="auto"/>
          <w:sz w:val="28"/>
          <w:szCs w:val="28"/>
          <w:highlight w:val="none"/>
          <w:lang w:val="en-US" w:eastAsia="zh-CN"/>
        </w:rPr>
        <w:t>3</w:t>
      </w:r>
      <w:r>
        <w:rPr>
          <w:rFonts w:hint="default" w:ascii="Times New Roman" w:hAnsi="Times New Roman" w:eastAsia="仿宋_GB2312" w:cs="Times New Roman"/>
          <w:color w:val="auto"/>
          <w:sz w:val="28"/>
          <w:szCs w:val="28"/>
          <w:highlight w:val="none"/>
        </w:rPr>
        <w:t>年</w:t>
      </w:r>
      <w:r>
        <w:rPr>
          <w:rFonts w:hint="eastAsia" w:ascii="Times New Roman" w:hAnsi="Times New Roman" w:eastAsia="仿宋_GB2312" w:cs="Times New Roman"/>
          <w:color w:val="auto"/>
          <w:sz w:val="28"/>
          <w:szCs w:val="28"/>
          <w:highlight w:val="none"/>
          <w:lang w:val="en-US" w:eastAsia="zh-CN"/>
        </w:rPr>
        <w:t>12</w:t>
      </w:r>
      <w:r>
        <w:rPr>
          <w:rFonts w:hint="default" w:ascii="Times New Roman" w:hAnsi="Times New Roman" w:eastAsia="仿宋_GB2312" w:cs="Times New Roman"/>
          <w:color w:val="auto"/>
          <w:sz w:val="28"/>
          <w:szCs w:val="28"/>
          <w:highlight w:val="none"/>
        </w:rPr>
        <w:t>月</w:t>
      </w:r>
      <w:r>
        <w:rPr>
          <w:rFonts w:hint="eastAsia" w:ascii="Times New Roman" w:hAnsi="Times New Roman" w:eastAsia="仿宋_GB2312" w:cs="Times New Roman"/>
          <w:color w:val="auto"/>
          <w:sz w:val="28"/>
          <w:szCs w:val="28"/>
          <w:highlight w:val="none"/>
          <w:lang w:val="en-US" w:eastAsia="zh-CN"/>
        </w:rPr>
        <w:t>12</w:t>
      </w:r>
      <w:r>
        <w:rPr>
          <w:rFonts w:hint="default" w:ascii="Times New Roman" w:hAnsi="Times New Roman" w:eastAsia="仿宋_GB2312" w:cs="Times New Roman"/>
          <w:color w:val="auto"/>
          <w:sz w:val="28"/>
          <w:szCs w:val="28"/>
          <w:highlight w:val="none"/>
        </w:rPr>
        <w:t>日印</w:t>
      </w:r>
    </w:p>
    <w:sectPr>
      <w:footerReference r:id="rId3" w:type="default"/>
      <w:pgSz w:w="11906" w:h="16838"/>
      <w:pgMar w:top="2154" w:right="1474" w:bottom="204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汉仪仿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仿宋" w:hAnsi="仿宋" w:eastAsia="仿宋" w:cs="仿宋"/>
                              <w:sz w:val="32"/>
                              <w:szCs w:val="40"/>
                            </w:rPr>
                            <w:t xml:space="preserve">— </w:t>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  \* MERGEFORMAT </w:instrText>
                          </w:r>
                          <w:r>
                            <w:rPr>
                              <w:rFonts w:hint="eastAsia" w:ascii="仿宋" w:hAnsi="仿宋" w:eastAsia="仿宋" w:cs="仿宋"/>
                              <w:sz w:val="32"/>
                              <w:szCs w:val="40"/>
                            </w:rPr>
                            <w:fldChar w:fldCharType="separate"/>
                          </w:r>
                          <w:r>
                            <w:rPr>
                              <w:rFonts w:hint="eastAsia" w:ascii="仿宋" w:hAnsi="仿宋" w:eastAsia="仿宋" w:cs="仿宋"/>
                              <w:sz w:val="32"/>
                              <w:szCs w:val="40"/>
                            </w:rPr>
                            <w:t>1</w:t>
                          </w:r>
                          <w:r>
                            <w:rPr>
                              <w:rFonts w:hint="eastAsia" w:ascii="仿宋" w:hAnsi="仿宋" w:eastAsia="仿宋" w:cs="仿宋"/>
                              <w:sz w:val="32"/>
                              <w:szCs w:val="40"/>
                            </w:rPr>
                            <w:fldChar w:fldCharType="end"/>
                          </w:r>
                          <w:r>
                            <w:rPr>
                              <w:rFonts w:hint="eastAsia" w:ascii="仿宋" w:hAnsi="仿宋" w:eastAsia="仿宋" w:cs="仿宋"/>
                              <w:sz w:val="32"/>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rPr>
                        <w:rFonts w:hint="eastAsia" w:ascii="仿宋" w:hAnsi="仿宋" w:eastAsia="仿宋" w:cs="仿宋"/>
                        <w:sz w:val="32"/>
                        <w:szCs w:val="40"/>
                      </w:rPr>
                      <w:t xml:space="preserve">— </w:t>
                    </w:r>
                    <w:r>
                      <w:rPr>
                        <w:rFonts w:hint="eastAsia" w:ascii="仿宋" w:hAnsi="仿宋" w:eastAsia="仿宋" w:cs="仿宋"/>
                        <w:sz w:val="32"/>
                        <w:szCs w:val="40"/>
                      </w:rPr>
                      <w:fldChar w:fldCharType="begin"/>
                    </w:r>
                    <w:r>
                      <w:rPr>
                        <w:rFonts w:hint="eastAsia" w:ascii="仿宋" w:hAnsi="仿宋" w:eastAsia="仿宋" w:cs="仿宋"/>
                        <w:sz w:val="32"/>
                        <w:szCs w:val="40"/>
                      </w:rPr>
                      <w:instrText xml:space="preserve"> PAGE  \* MERGEFORMAT </w:instrText>
                    </w:r>
                    <w:r>
                      <w:rPr>
                        <w:rFonts w:hint="eastAsia" w:ascii="仿宋" w:hAnsi="仿宋" w:eastAsia="仿宋" w:cs="仿宋"/>
                        <w:sz w:val="32"/>
                        <w:szCs w:val="40"/>
                      </w:rPr>
                      <w:fldChar w:fldCharType="separate"/>
                    </w:r>
                    <w:r>
                      <w:rPr>
                        <w:rFonts w:hint="eastAsia" w:ascii="仿宋" w:hAnsi="仿宋" w:eastAsia="仿宋" w:cs="仿宋"/>
                        <w:sz w:val="32"/>
                        <w:szCs w:val="40"/>
                      </w:rPr>
                      <w:t>1</w:t>
                    </w:r>
                    <w:r>
                      <w:rPr>
                        <w:rFonts w:hint="eastAsia" w:ascii="仿宋" w:hAnsi="仿宋" w:eastAsia="仿宋" w:cs="仿宋"/>
                        <w:sz w:val="32"/>
                        <w:szCs w:val="40"/>
                      </w:rPr>
                      <w:fldChar w:fldCharType="end"/>
                    </w:r>
                    <w:r>
                      <w:rPr>
                        <w:rFonts w:hint="eastAsia" w:ascii="仿宋" w:hAnsi="仿宋" w:eastAsia="仿宋" w:cs="仿宋"/>
                        <w:sz w:val="32"/>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07441E2C"/>
    <w:rsid w:val="07441E2C"/>
    <w:rsid w:val="6FFE8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val="0"/>
      <w:snapToGrid w:val="0"/>
      <w:spacing w:before="156" w:beforeLines="50" w:line="440" w:lineRule="exact"/>
      <w:ind w:firstLine="480" w:firstLineChars="200"/>
    </w:pPr>
    <w:rPr>
      <w:rFonts w:ascii="宋体" w:hAnsi="宋体"/>
      <w:bCs/>
      <w:color w:val="000000"/>
      <w:sz w:val="24"/>
    </w:rPr>
  </w:style>
  <w:style w:type="paragraph" w:styleId="3">
    <w:name w:val="Normal Indent"/>
    <w:basedOn w:val="1"/>
    <w:next w:val="2"/>
    <w:qFormat/>
    <w:uiPriority w:val="0"/>
    <w:pPr>
      <w:ind w:firstLine="480" w:firstLineChars="200"/>
    </w:pPr>
    <w:rPr>
      <w:color w:val="000000"/>
    </w:rPr>
  </w:style>
  <w:style w:type="paragraph" w:styleId="4">
    <w:name w:val="Salutation"/>
    <w:basedOn w:val="1"/>
    <w:next w:val="1"/>
    <w:qFormat/>
    <w:uiPriority w:val="0"/>
  </w:style>
  <w:style w:type="paragraph" w:styleId="5">
    <w:name w:val="Body Text"/>
    <w:basedOn w:val="1"/>
    <w:next w:val="6"/>
    <w:qFormat/>
    <w:uiPriority w:val="0"/>
    <w:pPr>
      <w:widowControl/>
      <w:snapToGrid w:val="0"/>
      <w:spacing w:before="60" w:after="160" w:line="259" w:lineRule="auto"/>
      <w:ind w:right="113"/>
    </w:pPr>
    <w:rPr>
      <w:kern w:val="0"/>
      <w:sz w:val="18"/>
      <w:szCs w:val="20"/>
    </w:rPr>
  </w:style>
  <w:style w:type="paragraph" w:customStyle="1" w:styleId="6">
    <w:name w:val="xl27"/>
    <w:basedOn w:val="1"/>
    <w:qFormat/>
    <w:uiPriority w:val="0"/>
    <w:pPr>
      <w:widowControl/>
      <w:pBdr>
        <w:bottom w:val="single" w:color="auto" w:sz="12" w:space="0"/>
      </w:pBdr>
      <w:spacing w:before="100" w:after="100"/>
      <w:jc w:val="center"/>
    </w:pPr>
    <w:rPr>
      <w:rFonts w:ascii="宋体"/>
      <w:kern w:val="0"/>
      <w:sz w:val="20"/>
      <w:szCs w:val="20"/>
    </w:rPr>
  </w:style>
  <w:style w:type="paragraph" w:styleId="7">
    <w:name w:val="Body Text Indent"/>
    <w:basedOn w:val="1"/>
    <w:next w:val="3"/>
    <w:qFormat/>
    <w:uiPriority w:val="0"/>
    <w:pPr>
      <w:spacing w:line="460" w:lineRule="exact"/>
      <w:ind w:firstLine="567"/>
    </w:pPr>
    <w:rPr>
      <w:rFonts w:ascii="宋体"/>
      <w:spacing w:val="6"/>
      <w:kern w:val="0"/>
      <w:sz w:val="28"/>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Body Text First Indent"/>
    <w:basedOn w:val="5"/>
    <w:next w:val="1"/>
    <w:qFormat/>
    <w:uiPriority w:val="0"/>
    <w:pPr>
      <w:spacing w:line="480" w:lineRule="atLeast"/>
      <w:ind w:firstLine="567"/>
    </w:pPr>
    <w:rPr>
      <w:rFonts w:ascii="宋体"/>
      <w:kern w:val="0"/>
      <w:sz w:val="28"/>
      <w:szCs w:val="20"/>
    </w:rPr>
  </w:style>
  <w:style w:type="paragraph" w:styleId="10">
    <w:name w:val="Body Text First Indent 2"/>
    <w:basedOn w:val="7"/>
    <w:next w:val="9"/>
    <w:qFormat/>
    <w:uiPriority w:val="0"/>
    <w:pPr>
      <w:topLinePunct/>
    </w:pPr>
    <w:rPr>
      <w:rFonts w:eastAsia="华文仿宋"/>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2023-12-11T11:57:00Z</dcterms:created>
  <dc:creator>子非鱼</dc:creator>
  <cp:lastModifiedBy>kylin</cp:lastModifiedBy>
  <cp:lastPrinted>2023-12-12T09:19:47Z</cp:lastPrinted>
  <dcterms:modified xsi:type="dcterms:W3CDTF">2023-12-12T09:19:50Z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AE3A09E2633A4A77AF288B26C0981573_11</vt:lpwstr>
  </property>
</Properties>
</file>