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188</w:t>
      </w:r>
      <w:r>
        <w:rPr>
          <w:rFonts w:ascii="Times New Roman" w:hAnsi="Times New Roman" w:eastAsia="仿宋_GB2312"/>
          <w:color w:val="auto"/>
          <w:sz w:val="32"/>
          <w:szCs w:val="32"/>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eastAsia="zh-CN"/>
        </w:rPr>
        <w:t>凤庆县洛党镇桃花光伏项目</w:t>
      </w: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大唐临沧新能源有限公司：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val="en-US" w:eastAsia="zh-CN"/>
        </w:rPr>
        <w:t>凤庆县洛党镇桃花光伏项目</w:t>
      </w:r>
      <w:r>
        <w:rPr>
          <w:rFonts w:hint="eastAsia" w:ascii="仿宋_GB2312" w:hAnsi="仿宋_GB2312" w:eastAsia="仿宋_GB2312" w:cs="仿宋_GB2312"/>
          <w:sz w:val="32"/>
          <w:szCs w:val="32"/>
          <w:lang w:eastAsia="zh-CN"/>
        </w:rPr>
        <w:t>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临沧市凤庆县水菜林村、竹坝河、灵应山和箐头村</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起点（东经99°58'00.618"，北纬100°04'55.022"），终点（东经24°27'06.026"，北纬24°31'48.893"）</w:t>
      </w:r>
      <w:r>
        <w:rPr>
          <w:rFonts w:hint="default" w:ascii="Times New Roman" w:hAnsi="Times New Roman" w:eastAsia="仿宋_GB2312" w:cs="Times New Roman"/>
          <w:color w:val="auto"/>
          <w:kern w:val="0"/>
          <w:sz w:val="32"/>
          <w:szCs w:val="32"/>
          <w:lang w:val="en-US" w:eastAsia="zh-CN"/>
        </w:rPr>
        <w:t>。</w:t>
      </w:r>
      <w:r>
        <w:rPr>
          <w:rFonts w:hint="eastAsia" w:eastAsia="仿宋_GB2312" w:cs="Times New Roman"/>
          <w:color w:val="auto"/>
          <w:kern w:val="0"/>
          <w:sz w:val="32"/>
          <w:szCs w:val="32"/>
          <w:lang w:val="en-US" w:eastAsia="zh-CN"/>
        </w:rPr>
        <w:t>项目总占地面积137.78公顷，永久占地1.416公顷，临时占地136.364公顷</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主要建设内容</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lang w:val="en-US" w:eastAsia="zh-CN"/>
        </w:rPr>
        <w:t>新建1座110kV升压站，站内布置1台90MVA主变、综合楼、35kV配电室等。总投资45513万元，环保投资145.5万元，环保投资占</w:t>
      </w:r>
      <w:r>
        <w:rPr>
          <w:rFonts w:hint="eastAsia" w:eastAsia="仿宋_GB2312" w:cs="Times New Roman"/>
          <w:color w:val="auto"/>
          <w:kern w:val="0"/>
          <w:sz w:val="32"/>
          <w:szCs w:val="32"/>
          <w:lang w:val="en-US" w:eastAsia="zh-CN"/>
        </w:rPr>
        <w:t>比</w:t>
      </w:r>
      <w:r>
        <w:rPr>
          <w:rFonts w:hint="default" w:ascii="Times New Roman" w:hAnsi="Times New Roman" w:eastAsia="仿宋_GB2312" w:cs="Times New Roman"/>
          <w:color w:val="auto"/>
          <w:kern w:val="0"/>
          <w:sz w:val="32"/>
          <w:szCs w:val="32"/>
          <w:lang w:val="en-US" w:eastAsia="zh-CN"/>
        </w:rPr>
        <w:t>0.32%</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w:t>
      </w:r>
      <w:bookmarkStart w:id="0" w:name="_GoBack"/>
      <w:bookmarkEnd w:id="0"/>
      <w:r>
        <w:rPr>
          <w:rFonts w:hint="eastAsia" w:ascii="仿宋_GB2312" w:hAnsi="仿宋_GB2312" w:eastAsia="仿宋_GB2312" w:cs="仿宋_GB2312"/>
          <w:color w:val="auto"/>
          <w:sz w:val="32"/>
          <w:szCs w:val="32"/>
          <w:lang w:val="en-US" w:eastAsia="zh-CN"/>
        </w:rPr>
        <w:t>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凤庆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严格按照《建设项目竣工环境保护验收暂行办法》有关规定，组织对配套建设的环境保护设施进行验收，并将相关信息向社会公开，同时将上述信息报送市生态环境局凤庆分局。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（六）临沧市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凤庆</w:t>
      </w:r>
      <w:r>
        <w:rPr>
          <w:rFonts w:hint="eastAsia" w:ascii="仿宋_GB2312" w:hAnsi="仿宋_GB2312" w:eastAsia="仿宋_GB2312" w:cs="仿宋_GB2312"/>
          <w:color w:val="auto"/>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color w:val="auto"/>
          <w:sz w:val="32"/>
          <w:szCs w:val="32"/>
        </w:rPr>
        <w:t>〔2021〕70号）要求，加强对该项目环境保护</w:t>
      </w:r>
      <w:r>
        <w:rPr>
          <w:rFonts w:hint="default" w:ascii="仿宋_GB2312" w:hAnsi="仿宋_GB2312" w:eastAsia="仿宋_GB2312" w:cs="仿宋_GB2312"/>
          <w:color w:val="auto"/>
          <w:sz w:val="32"/>
          <w:szCs w:val="32"/>
        </w:rPr>
        <w:t>“三同时”</w:t>
      </w:r>
      <w:r>
        <w:rPr>
          <w:rFonts w:hint="default" w:ascii="Times New Roman" w:hAnsi="Times New Roman" w:eastAsia="仿宋_GB2312" w:cs="Times New Roman"/>
          <w:color w:val="auto"/>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tbl>
      <w:tblPr>
        <w:tblStyle w:val="8"/>
        <w:tblpPr w:leftFromText="180" w:rightFromText="180" w:vertAnchor="text" w:horzAnchor="page" w:tblpX="1502" w:tblpY="7496"/>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w:t>
            </w:r>
            <w:r>
              <w:rPr>
                <w:rFonts w:hint="eastAsia" w:ascii="仿宋_GB2312" w:hAnsi="仿宋_GB2312" w:eastAsia="仿宋_GB2312" w:cs="仿宋_GB2312"/>
                <w:kern w:val="0"/>
                <w:sz w:val="28"/>
                <w:szCs w:val="28"/>
                <w:lang w:val="en-US" w:eastAsia="zh-CN"/>
              </w:rPr>
              <w:t>发展改和革委员会</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仿宋_GB2312" w:hAnsi="仿宋_GB2312" w:eastAsia="仿宋_GB2312" w:cs="仿宋_GB2312"/>
                <w:kern w:val="0"/>
                <w:sz w:val="28"/>
                <w:szCs w:val="28"/>
                <w:lang w:eastAsia="zh-CN"/>
              </w:rPr>
              <w:t>凤庆</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18</w:t>
            </w:r>
            <w:r>
              <w:rPr>
                <w:rFonts w:hint="default" w:ascii="Times New Roman" w:hAnsi="Times New Roman" w:eastAsia="仿宋_GB2312" w:cs="Times New Roman"/>
                <w:kern w:val="0"/>
                <w:sz w:val="28"/>
                <w:szCs w:val="28"/>
                <w:highlight w:val="none"/>
              </w:rPr>
              <w:t>日印</w:t>
            </w:r>
          </w:p>
        </w:tc>
      </w:tr>
    </w:tbl>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Pr>
        <w:pStyle w:val="5"/>
        <w:rPr>
          <w:rFonts w:hint="eastAsia" w:ascii="仿宋_GB2312" w:hAnsi="仿宋_GB2312" w:eastAsia="仿宋_GB2312" w:cs="仿宋_GB2312"/>
          <w:kern w:val="2"/>
          <w:sz w:val="24"/>
          <w:szCs w:val="24"/>
          <w:lang w:val="en-US" w:eastAsia="zh-CN" w:bidi="ar-SA"/>
        </w:rPr>
      </w:pPr>
    </w:p>
    <w:p/>
    <w:p/>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6"/>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38A67D8"/>
    <w:rsid w:val="1E5E623C"/>
    <w:rsid w:val="1FED61F0"/>
    <w:rsid w:val="1FF54D66"/>
    <w:rsid w:val="21087B5A"/>
    <w:rsid w:val="3A192E01"/>
    <w:rsid w:val="438A67D8"/>
    <w:rsid w:val="4E653AB4"/>
    <w:rsid w:val="54DC27C7"/>
    <w:rsid w:val="6FAB29FD"/>
    <w:rsid w:val="7DDF13E9"/>
    <w:rsid w:val="7FFF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引言二级条标题"/>
    <w:next w:val="3"/>
    <w:qFormat/>
    <w:uiPriority w:val="0"/>
    <w:pPr>
      <w:widowControl w:val="0"/>
      <w:tabs>
        <w:tab w:val="left" w:pos="360"/>
        <w:tab w:val="left" w:pos="1996"/>
      </w:tabs>
      <w:ind w:left="1996" w:hanging="720"/>
      <w:jc w:val="both"/>
    </w:pPr>
    <w:rPr>
      <w:rFonts w:ascii="Times New Roman" w:hAnsi="Times New Roman" w:eastAsia="黑体" w:cs="Times New Roman"/>
      <w:b/>
      <w:kern w:val="2"/>
      <w:sz w:val="21"/>
      <w:szCs w:val="24"/>
      <w:lang w:val="en-US" w:eastAsia="zh-CN" w:bidi="ar-SA"/>
    </w:rPr>
  </w:style>
  <w:style w:type="paragraph" w:customStyle="1" w:styleId="3">
    <w:name w:val="段"/>
    <w:semiHidden/>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4">
    <w:name w:val="Body Text"/>
    <w:basedOn w:val="1"/>
    <w:next w:val="1"/>
    <w:qFormat/>
    <w:uiPriority w:val="0"/>
    <w:pPr>
      <w:widowControl/>
      <w:snapToGrid w:val="0"/>
      <w:spacing w:before="60" w:after="160" w:line="259" w:lineRule="auto"/>
      <w:ind w:right="113"/>
    </w:pPr>
    <w:rPr>
      <w:kern w:val="0"/>
      <w:sz w:val="18"/>
      <w:szCs w:val="2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2023-11-26T18:00:00Z</dcterms:created>
  <dc:creator>子非鱼</dc:creator>
  <cp:lastModifiedBy>kylin</cp:lastModifiedBy>
  <cp:lastPrinted>2023-12-18T15:55:31Z</cp:lastPrinted>
  <dcterms:modified xsi:type="dcterms:W3CDTF">2023-12-18T15:59:10Z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AFEB25606D244EFC9DC126BDE173AA62_13</vt:lpwstr>
  </property>
</Properties>
</file>