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firstLine="440" w:firstLineChars="1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临沧市气象局20</w:t>
      </w:r>
      <w:r>
        <w:rPr>
          <w:rFonts w:hint="eastAsia" w:ascii="方正小标宋简体" w:hAnsi="方正小标宋简体" w:eastAsia="方正小标宋简体" w:cs="方正小标宋简体"/>
          <w:sz w:val="44"/>
          <w:szCs w:val="44"/>
          <w:lang w:val="en-US" w:eastAsia="zh-CN"/>
        </w:rPr>
        <w:t>20</w:t>
      </w:r>
      <w:r>
        <w:rPr>
          <w:rFonts w:hint="eastAsia" w:ascii="方正小标宋简体" w:hAnsi="方正小标宋简体" w:eastAsia="方正小标宋简体" w:cs="方正小标宋简体"/>
          <w:sz w:val="44"/>
          <w:szCs w:val="44"/>
        </w:rPr>
        <w:t>年</w:t>
      </w:r>
    </w:p>
    <w:p>
      <w:pPr>
        <w:keepNext w:val="0"/>
        <w:keepLines w:val="0"/>
        <w:pageBreakBefore w:val="0"/>
        <w:widowControl w:val="0"/>
        <w:kinsoku/>
        <w:wordWrap/>
        <w:overflowPunct/>
        <w:topLinePunct w:val="0"/>
        <w:autoSpaceDE/>
        <w:autoSpaceDN/>
        <w:bidi w:val="0"/>
        <w:adjustRightInd/>
        <w:snapToGrid/>
        <w:spacing w:line="700" w:lineRule="exact"/>
        <w:ind w:firstLine="440" w:firstLineChars="10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政府信息公开工作年度报告</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top"/>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中华人民共和国政府信息公开条例》和《气象部门政府信息公开办法》，现将临沧市气象局2020年政府信息公开工作年度报告向社会公布。本报告包括概述、主动公开政府信息情况、依申请公开政府信息情况、因政府信息公开申请复议及提起诉讼情况、政府信息公开工作存在的主要问题及改进情况等方面。本报告中政府信息公开通过临沧市人民政府网站（http://lincang.gov.cn）集群子网站（</w:t>
      </w:r>
      <w:r>
        <w:rPr>
          <w:rFonts w:hint="eastAsia" w:ascii="仿宋_GB2312" w:hAnsi="仿宋_GB2312" w:eastAsia="仿宋_GB2312" w:cs="仿宋_GB2312"/>
          <w:spacing w:val="-20"/>
          <w:sz w:val="32"/>
          <w:szCs w:val="32"/>
          <w:lang w:val="en-US" w:eastAsia="zh-CN"/>
        </w:rPr>
        <w:t>http://www.lincang.gov.cn/lcsrmzf/22496/index.html</w:t>
      </w:r>
      <w:r>
        <w:rPr>
          <w:rFonts w:hint="eastAsia" w:ascii="仿宋_GB2312" w:hAnsi="仿宋_GB2312" w:eastAsia="仿宋_GB2312" w:cs="仿宋_GB2312"/>
          <w:sz w:val="32"/>
          <w:szCs w:val="32"/>
          <w:lang w:val="en-US" w:eastAsia="zh-CN"/>
        </w:rPr>
        <w:t>）和云南省气象局门户网站（http://yn.cma.gov.cn/）中州市气象局（http://yn.cma.gov.cn/zsqxj/lcsqxj/index.html）对社会公布，其中数据的统计期限自2020年1月1日起至2020年12月31日止，如对本年度报告有任何疑问，请与临沧市气象局办公室联系（地址：云南省临沧市临翔区缅宁大道633号，邮编：677099，电话：0883--2122424）。</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临沧市气象局全面贯彻落实《条例》精神，严格按照上级主管部门和地方人民政府关于政府信息公开工作的相关要求，建立健全政府信息公开管理机制，规范公开流程，将政务公开工作与气象工作相结合，加强气象灾害预警信息、政务信息发布和答疑回应，进一步提高气象工作透明度，方便群众获取气象信息，提升部门形象和公信力，取得了较好成效。</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（一）主动公开情况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临沧市气象局在市政府集群子网站累计主动公开各类信息225条，包括政策文件及政策解读5条，天气预报预警信息147条，工作动态60条，财政预决算及三公经费2条，发展计划报告（《临沧市气象局“十四五”规划基本思路》）1条，气象科普信息10条。在云南省气象局门户网站子网站公开各类信息120条，其中公告公示6条，工作动态46条，预警信息68条。“临沧天气”微信服务号发布天气预报预警信息147条。</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（二）依申请公开情况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2020年，本单位未收到依申请公开件，无政府信息公开工作被申请行政复议、提起行政诉讼的情况。</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（三）政府信息管理及监督情况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rPr>
          <w:rFonts w:hint="eastAsia" w:ascii="楷体_GB2312" w:hAnsi="楷体_GB2312" w:eastAsia="楷体_GB2312" w:cs="楷体_GB2312"/>
          <w:b/>
          <w:bCs/>
          <w:sz w:val="32"/>
          <w:szCs w:val="32"/>
          <w:lang w:val="en-US" w:eastAsia="zh-CN"/>
        </w:rPr>
      </w:pPr>
      <w:r>
        <w:rPr>
          <w:rFonts w:hint="eastAsia" w:ascii="仿宋_GB2312" w:hAnsi="仿宋_GB2312" w:eastAsia="仿宋_GB2312" w:cs="仿宋_GB2312"/>
          <w:b w:val="0"/>
          <w:bCs w:val="0"/>
          <w:color w:val="auto"/>
          <w:sz w:val="32"/>
          <w:szCs w:val="32"/>
          <w:lang w:val="en-US" w:eastAsia="zh-CN"/>
        </w:rPr>
        <w:t>制定《</w:t>
      </w:r>
      <w:r>
        <w:rPr>
          <w:rFonts w:hint="eastAsia" w:ascii="仿宋_GB2312" w:hAnsi="仿宋_GB2312" w:eastAsia="仿宋_GB2312" w:cs="仿宋_GB2312"/>
          <w:b w:val="0"/>
          <w:bCs w:val="0"/>
          <w:i w:val="0"/>
          <w:caps w:val="0"/>
          <w:color w:val="auto"/>
          <w:spacing w:val="0"/>
          <w:sz w:val="32"/>
          <w:szCs w:val="32"/>
          <w:u w:val="none"/>
          <w:shd w:val="clear" w:fill="FFFFFF"/>
        </w:rPr>
        <w:fldChar w:fldCharType="begin"/>
      </w:r>
      <w:r>
        <w:rPr>
          <w:rFonts w:hint="eastAsia" w:ascii="仿宋_GB2312" w:hAnsi="仿宋_GB2312" w:eastAsia="仿宋_GB2312" w:cs="仿宋_GB2312"/>
          <w:b w:val="0"/>
          <w:bCs w:val="0"/>
          <w:i w:val="0"/>
          <w:caps w:val="0"/>
          <w:color w:val="auto"/>
          <w:spacing w:val="0"/>
          <w:sz w:val="32"/>
          <w:szCs w:val="32"/>
          <w:u w:val="none"/>
          <w:shd w:val="clear" w:fill="FFFFFF"/>
        </w:rPr>
        <w:instrText xml:space="preserve"> HYPERLINK "http://www.lincang.gov.cn/lcsrmzf/22496/22501/22502/30548/index.html" \o "临沧市气象部门政府信息公开管理办法" \t "http://www.lincang.gov.cn/lcsrmzf/22496/22501/22502/_blank" </w:instrText>
      </w:r>
      <w:r>
        <w:rPr>
          <w:rFonts w:hint="eastAsia" w:ascii="仿宋_GB2312" w:hAnsi="仿宋_GB2312" w:eastAsia="仿宋_GB2312" w:cs="仿宋_GB2312"/>
          <w:b w:val="0"/>
          <w:bCs w:val="0"/>
          <w:i w:val="0"/>
          <w:caps w:val="0"/>
          <w:color w:val="auto"/>
          <w:spacing w:val="0"/>
          <w:sz w:val="32"/>
          <w:szCs w:val="32"/>
          <w:u w:val="none"/>
          <w:shd w:val="clear" w:fill="FFFFFF"/>
        </w:rPr>
        <w:fldChar w:fldCharType="separate"/>
      </w:r>
      <w:r>
        <w:rPr>
          <w:rStyle w:val="6"/>
          <w:rFonts w:hint="eastAsia" w:ascii="仿宋_GB2312" w:hAnsi="仿宋_GB2312" w:eastAsia="仿宋_GB2312" w:cs="仿宋_GB2312"/>
          <w:b w:val="0"/>
          <w:bCs w:val="0"/>
          <w:i w:val="0"/>
          <w:caps w:val="0"/>
          <w:color w:val="auto"/>
          <w:spacing w:val="0"/>
          <w:sz w:val="32"/>
          <w:szCs w:val="32"/>
          <w:u w:val="none"/>
          <w:shd w:val="clear" w:fill="FFFFFF"/>
        </w:rPr>
        <w:t>临沧市气象部门政府信息公开管理办法</w:t>
      </w:r>
      <w:r>
        <w:rPr>
          <w:rFonts w:hint="eastAsia" w:ascii="仿宋_GB2312" w:hAnsi="仿宋_GB2312" w:eastAsia="仿宋_GB2312" w:cs="仿宋_GB2312"/>
          <w:b w:val="0"/>
          <w:bCs w:val="0"/>
          <w:i w:val="0"/>
          <w:caps w:val="0"/>
          <w:color w:val="auto"/>
          <w:spacing w:val="0"/>
          <w:sz w:val="32"/>
          <w:szCs w:val="32"/>
          <w:u w:val="none"/>
          <w:shd w:val="clear" w:fill="FFFFFF"/>
        </w:rPr>
        <w:fldChar w:fldCharType="end"/>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sz w:val="32"/>
          <w:szCs w:val="32"/>
          <w:lang w:val="en-US" w:eastAsia="zh-CN"/>
        </w:rPr>
        <w:t>明确政府信息公开内容、责任分工、发布流程、保障措施等。由专人负责编审和信息登载，</w:t>
      </w:r>
      <w:r>
        <w:rPr>
          <w:rFonts w:hint="eastAsia" w:ascii="仿宋_GB2312" w:hAnsi="仿宋_GB2312" w:eastAsia="仿宋_GB2312" w:cs="仿宋_GB2312"/>
          <w:b w:val="0"/>
          <w:bCs w:val="0"/>
          <w:sz w:val="32"/>
          <w:szCs w:val="32"/>
          <w:lang w:val="en-US" w:eastAsia="zh-CN"/>
        </w:rPr>
        <w:t>建立政务公开信息发布三级审核制度，并进行涉密审核，严格做到“公开不涉密、涉密不公开”。按照“谁公开、谁负责”的原则，及时回应公众诉求和疑问，并接受公众和上级主管部门以及地方相关部门监督管理，及时整改存在问题。</w:t>
      </w:r>
    </w:p>
    <w:p>
      <w:pPr>
        <w:keepNext w:val="0"/>
        <w:keepLines w:val="0"/>
        <w:pageBreakBefore w:val="0"/>
        <w:widowControl w:val="0"/>
        <w:kinsoku/>
        <w:wordWrap/>
        <w:overflowPunct/>
        <w:topLinePunct w:val="0"/>
        <w:autoSpaceDE/>
        <w:autoSpaceDN/>
        <w:bidi w:val="0"/>
        <w:adjustRightInd/>
        <w:snapToGrid/>
        <w:spacing w:line="480" w:lineRule="exact"/>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（四）平台建设情况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临沧市气象局通过微信平台建立“临沧天气”公众号，运用新媒体传播速度快、覆盖面广的特点，进一步增强气象信息覆盖面和影响力，提升防灾减灾能力。</w:t>
      </w:r>
    </w:p>
    <w:p>
      <w:pPr>
        <w:ind w:firstLine="640" w:firstLineChars="20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lang w:eastAsia="zh-CN"/>
        </w:rPr>
        <w:t>二、</w:t>
      </w:r>
      <w:r>
        <w:rPr>
          <w:rFonts w:hint="eastAsia" w:ascii="黑体" w:hAnsi="黑体" w:eastAsia="黑体" w:cs="黑体"/>
          <w:b w:val="0"/>
          <w:bCs w:val="0"/>
          <w:color w:val="333333"/>
          <w:kern w:val="0"/>
          <w:sz w:val="32"/>
          <w:szCs w:val="32"/>
        </w:rPr>
        <w:t>主动公开政府信息情况</w:t>
      </w:r>
    </w:p>
    <w:tbl>
      <w:tblPr>
        <w:tblStyle w:val="4"/>
        <w:tblW w:w="8400" w:type="dxa"/>
        <w:jc w:val="center"/>
        <w:tblLayout w:type="autofit"/>
        <w:tblCellMar>
          <w:top w:w="0" w:type="dxa"/>
          <w:left w:w="0" w:type="dxa"/>
          <w:bottom w:w="0" w:type="dxa"/>
          <w:right w:w="0" w:type="dxa"/>
        </w:tblCellMar>
      </w:tblPr>
      <w:tblGrid>
        <w:gridCol w:w="3212"/>
        <w:gridCol w:w="1934"/>
        <w:gridCol w:w="7"/>
        <w:gridCol w:w="1304"/>
        <w:gridCol w:w="1943"/>
      </w:tblGrid>
      <w:tr>
        <w:tblPrEx>
          <w:tblCellMar>
            <w:top w:w="0" w:type="dxa"/>
            <w:left w:w="0" w:type="dxa"/>
            <w:bottom w:w="0" w:type="dxa"/>
            <w:right w:w="0" w:type="dxa"/>
          </w:tblCellMar>
        </w:tblPrEx>
        <w:trPr>
          <w:trHeight w:val="533" w:hRule="atLeast"/>
          <w:jc w:val="center"/>
        </w:trPr>
        <w:tc>
          <w:tcPr>
            <w:tcW w:w="840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935" w:hRule="atLeast"/>
          <w:jc w:val="center"/>
        </w:trPr>
        <w:tc>
          <w:tcPr>
            <w:tcW w:w="321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93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31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94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63" w:hRule="atLeast"/>
          <w:jc w:val="center"/>
        </w:trPr>
        <w:tc>
          <w:tcPr>
            <w:tcW w:w="321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93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31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94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509" w:hRule="atLeast"/>
          <w:jc w:val="center"/>
        </w:trPr>
        <w:tc>
          <w:tcPr>
            <w:tcW w:w="321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93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31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94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518" w:hRule="atLeast"/>
          <w:jc w:val="center"/>
        </w:trPr>
        <w:tc>
          <w:tcPr>
            <w:tcW w:w="840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78" w:hRule="atLeast"/>
          <w:jc w:val="center"/>
        </w:trPr>
        <w:tc>
          <w:tcPr>
            <w:tcW w:w="321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93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31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4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68" w:hRule="atLeast"/>
          <w:jc w:val="center"/>
        </w:trPr>
        <w:tc>
          <w:tcPr>
            <w:tcW w:w="321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94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4</w:t>
            </w:r>
          </w:p>
        </w:tc>
        <w:tc>
          <w:tcPr>
            <w:tcW w:w="13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94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85</w:t>
            </w:r>
          </w:p>
        </w:tc>
      </w:tr>
      <w:tr>
        <w:tblPrEx>
          <w:tblCellMar>
            <w:top w:w="0" w:type="dxa"/>
            <w:left w:w="0" w:type="dxa"/>
            <w:bottom w:w="0" w:type="dxa"/>
            <w:right w:w="0" w:type="dxa"/>
          </w:tblCellMar>
        </w:tblPrEx>
        <w:trPr>
          <w:trHeight w:val="591" w:hRule="atLeast"/>
          <w:jc w:val="center"/>
        </w:trPr>
        <w:tc>
          <w:tcPr>
            <w:tcW w:w="321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94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3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194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441" w:hRule="atLeast"/>
          <w:jc w:val="center"/>
        </w:trPr>
        <w:tc>
          <w:tcPr>
            <w:tcW w:w="840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78" w:hRule="atLeast"/>
          <w:jc w:val="center"/>
        </w:trPr>
        <w:tc>
          <w:tcPr>
            <w:tcW w:w="321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934"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31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4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66" w:hRule="atLeast"/>
          <w:jc w:val="center"/>
        </w:trPr>
        <w:tc>
          <w:tcPr>
            <w:tcW w:w="321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94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24</w:t>
            </w:r>
          </w:p>
        </w:tc>
        <w:tc>
          <w:tcPr>
            <w:tcW w:w="13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94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444" w:hRule="atLeast"/>
          <w:jc w:val="center"/>
        </w:trPr>
        <w:tc>
          <w:tcPr>
            <w:tcW w:w="321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94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1</w:t>
            </w:r>
          </w:p>
        </w:tc>
        <w:tc>
          <w:tcPr>
            <w:tcW w:w="1304"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c>
          <w:tcPr>
            <w:tcW w:w="1943"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512" w:hRule="atLeast"/>
          <w:jc w:val="center"/>
        </w:trPr>
        <w:tc>
          <w:tcPr>
            <w:tcW w:w="840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4" w:hRule="atLeast"/>
          <w:jc w:val="center"/>
        </w:trPr>
        <w:tc>
          <w:tcPr>
            <w:tcW w:w="321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94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247"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17" w:hRule="atLeast"/>
          <w:jc w:val="center"/>
        </w:trPr>
        <w:tc>
          <w:tcPr>
            <w:tcW w:w="321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94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c>
          <w:tcPr>
            <w:tcW w:w="3247"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CellMar>
            <w:top w:w="0" w:type="dxa"/>
            <w:left w:w="0" w:type="dxa"/>
            <w:bottom w:w="0" w:type="dxa"/>
            <w:right w:w="0" w:type="dxa"/>
          </w:tblCellMar>
        </w:tblPrEx>
        <w:trPr>
          <w:trHeight w:val="462" w:hRule="atLeast"/>
          <w:jc w:val="center"/>
        </w:trPr>
        <w:tc>
          <w:tcPr>
            <w:tcW w:w="840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627" w:hRule="atLeast"/>
          <w:jc w:val="center"/>
        </w:trPr>
        <w:tc>
          <w:tcPr>
            <w:tcW w:w="321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94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247"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CellMar>
            <w:top w:w="0" w:type="dxa"/>
            <w:left w:w="0" w:type="dxa"/>
            <w:bottom w:w="0" w:type="dxa"/>
            <w:right w:w="0" w:type="dxa"/>
          </w:tblCellMar>
        </w:tblPrEx>
        <w:trPr>
          <w:trHeight w:val="500" w:hRule="atLeast"/>
          <w:jc w:val="center"/>
        </w:trPr>
        <w:tc>
          <w:tcPr>
            <w:tcW w:w="3212"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94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1</w:t>
            </w:r>
          </w:p>
        </w:tc>
        <w:tc>
          <w:tcPr>
            <w:tcW w:w="3247"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74.078万元</w:t>
            </w:r>
          </w:p>
        </w:tc>
      </w:tr>
    </w:tbl>
    <w:p>
      <w:pPr>
        <w:keepNext w:val="0"/>
        <w:keepLines w:val="0"/>
        <w:pageBreakBefore w:val="0"/>
        <w:widowControl/>
        <w:shd w:val="clear" w:color="auto" w:fill="FFFFFF"/>
        <w:kinsoku/>
        <w:wordWrap/>
        <w:overflowPunct/>
        <w:topLinePunct w:val="0"/>
        <w:autoSpaceDE/>
        <w:autoSpaceDN/>
        <w:bidi w:val="0"/>
        <w:adjustRightInd/>
        <w:snapToGrid/>
        <w:spacing w:after="240" w:line="440" w:lineRule="exact"/>
        <w:ind w:firstLine="640" w:firstLineChars="200"/>
        <w:textAlignment w:val="auto"/>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三、收到和处理政府信息公开申请情况</w:t>
      </w:r>
    </w:p>
    <w:tbl>
      <w:tblPr>
        <w:tblStyle w:val="4"/>
        <w:tblW w:w="8443" w:type="dxa"/>
        <w:jc w:val="center"/>
        <w:tblLayout w:type="fixed"/>
        <w:tblCellMar>
          <w:top w:w="0" w:type="dxa"/>
          <w:left w:w="0" w:type="dxa"/>
          <w:bottom w:w="0" w:type="dxa"/>
          <w:right w:w="0" w:type="dxa"/>
        </w:tblCellMar>
      </w:tblPr>
      <w:tblGrid>
        <w:gridCol w:w="529"/>
        <w:gridCol w:w="845"/>
        <w:gridCol w:w="1972"/>
        <w:gridCol w:w="781"/>
        <w:gridCol w:w="728"/>
        <w:gridCol w:w="728"/>
        <w:gridCol w:w="781"/>
        <w:gridCol w:w="929"/>
        <w:gridCol w:w="688"/>
        <w:gridCol w:w="462"/>
      </w:tblGrid>
      <w:tr>
        <w:tblPrEx>
          <w:tblCellMar>
            <w:top w:w="0" w:type="dxa"/>
            <w:left w:w="0" w:type="dxa"/>
            <w:bottom w:w="0" w:type="dxa"/>
            <w:right w:w="0" w:type="dxa"/>
          </w:tblCellMar>
        </w:tblPrEx>
        <w:trPr>
          <w:jc w:val="center"/>
        </w:trPr>
        <w:tc>
          <w:tcPr>
            <w:tcW w:w="3346"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097"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3346"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81"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3854"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462"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3346"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81"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78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2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462"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334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334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529"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81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（一）予以公开</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46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52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81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（二）部分公开（区分处理的，只计这一情形，不计其他情形）</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52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4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0"/>
                <w:szCs w:val="20"/>
                <w:lang w:val="en-US" w:eastAsia="zh-CN"/>
              </w:rPr>
            </w:pPr>
            <w:r>
              <w:rPr>
                <w:rFonts w:hint="eastAsia" w:asciiTheme="majorEastAsia" w:hAnsiTheme="majorEastAsia" w:eastAsiaTheme="majorEastAsia" w:cstheme="majorEastAsia"/>
                <w:kern w:val="0"/>
                <w:sz w:val="20"/>
                <w:szCs w:val="20"/>
              </w:rPr>
              <w:t>（三）不予公开</w:t>
            </w:r>
          </w:p>
        </w:tc>
        <w:tc>
          <w:tcPr>
            <w:tcW w:w="1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1.属于国家秘密</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462"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52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45" w:type="dxa"/>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0"/>
                <w:szCs w:val="20"/>
              </w:rPr>
            </w:pPr>
          </w:p>
        </w:tc>
        <w:tc>
          <w:tcPr>
            <w:tcW w:w="1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2.其他法律行政法规禁止公开</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52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45" w:type="dxa"/>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0"/>
                <w:szCs w:val="20"/>
              </w:rPr>
            </w:pPr>
          </w:p>
        </w:tc>
        <w:tc>
          <w:tcPr>
            <w:tcW w:w="1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w:t>
            </w:r>
            <w:r>
              <w:rPr>
                <w:rFonts w:hint="eastAsia" w:asciiTheme="majorEastAsia" w:hAnsiTheme="majorEastAsia" w:eastAsiaTheme="majorEastAsia" w:cstheme="majorEastAsia"/>
                <w:kern w:val="0"/>
                <w:sz w:val="20"/>
                <w:szCs w:val="20"/>
                <w:highlight w:val="none"/>
              </w:rPr>
              <w:t>危及</w:t>
            </w:r>
            <w:r>
              <w:rPr>
                <w:rFonts w:hint="eastAsia" w:asciiTheme="majorEastAsia" w:hAnsiTheme="majorEastAsia" w:eastAsiaTheme="majorEastAsia" w:cstheme="majorEastAsia"/>
                <w:kern w:val="0"/>
                <w:sz w:val="20"/>
                <w:szCs w:val="20"/>
              </w:rPr>
              <w:t>“三安全一稳定”</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52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45" w:type="dxa"/>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0"/>
                <w:szCs w:val="20"/>
              </w:rPr>
            </w:pPr>
          </w:p>
        </w:tc>
        <w:tc>
          <w:tcPr>
            <w:tcW w:w="1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4.保护第三方合法权益</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52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45" w:type="dxa"/>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0"/>
                <w:szCs w:val="20"/>
              </w:rPr>
            </w:pPr>
          </w:p>
        </w:tc>
        <w:tc>
          <w:tcPr>
            <w:tcW w:w="1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5.属于三类内部事务信息</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52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45" w:type="dxa"/>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0"/>
                <w:szCs w:val="20"/>
              </w:rPr>
            </w:pPr>
          </w:p>
        </w:tc>
        <w:tc>
          <w:tcPr>
            <w:tcW w:w="1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6.属于四类过程性信息</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52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45" w:type="dxa"/>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0"/>
                <w:szCs w:val="20"/>
              </w:rPr>
            </w:pPr>
          </w:p>
        </w:tc>
        <w:tc>
          <w:tcPr>
            <w:tcW w:w="1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7.属于行政执法案卷</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52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45" w:type="dxa"/>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0"/>
                <w:szCs w:val="20"/>
              </w:rPr>
            </w:pPr>
          </w:p>
        </w:tc>
        <w:tc>
          <w:tcPr>
            <w:tcW w:w="1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8.属于行政查询事项</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52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4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0"/>
                <w:szCs w:val="20"/>
                <w:lang w:val="en-US" w:eastAsia="zh-CN"/>
              </w:rPr>
            </w:pPr>
            <w:r>
              <w:rPr>
                <w:rFonts w:hint="eastAsia" w:asciiTheme="majorEastAsia" w:hAnsiTheme="majorEastAsia" w:eastAsiaTheme="majorEastAsia" w:cstheme="majorEastAsia"/>
                <w:kern w:val="0"/>
                <w:sz w:val="20"/>
                <w:szCs w:val="20"/>
              </w:rPr>
              <w:t>（四）无法提供</w:t>
            </w:r>
          </w:p>
        </w:tc>
        <w:tc>
          <w:tcPr>
            <w:tcW w:w="1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1.本机关不掌握相关政府信息</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52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45" w:type="dxa"/>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0"/>
                <w:szCs w:val="20"/>
              </w:rPr>
            </w:pPr>
          </w:p>
        </w:tc>
        <w:tc>
          <w:tcPr>
            <w:tcW w:w="1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2.没有现成信息需要另行制作</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52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45" w:type="dxa"/>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0"/>
                <w:szCs w:val="20"/>
              </w:rPr>
            </w:pPr>
          </w:p>
        </w:tc>
        <w:tc>
          <w:tcPr>
            <w:tcW w:w="1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3.补正后申请内容仍不明确</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52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45"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0"/>
                <w:szCs w:val="20"/>
                <w:lang w:val="en-US" w:eastAsia="zh-CN"/>
              </w:rPr>
            </w:pPr>
            <w:r>
              <w:rPr>
                <w:rFonts w:hint="eastAsia" w:asciiTheme="majorEastAsia" w:hAnsiTheme="majorEastAsia" w:eastAsiaTheme="majorEastAsia" w:cstheme="majorEastAsia"/>
                <w:kern w:val="0"/>
                <w:sz w:val="20"/>
                <w:szCs w:val="20"/>
              </w:rPr>
              <w:t>（五）不予处理</w:t>
            </w:r>
          </w:p>
        </w:tc>
        <w:tc>
          <w:tcPr>
            <w:tcW w:w="1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1.信访举报投诉类申请</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52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45" w:type="dxa"/>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0"/>
                <w:szCs w:val="20"/>
              </w:rPr>
            </w:pPr>
          </w:p>
        </w:tc>
        <w:tc>
          <w:tcPr>
            <w:tcW w:w="1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2.重复申请</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52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45" w:type="dxa"/>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0"/>
                <w:szCs w:val="20"/>
              </w:rPr>
            </w:pPr>
          </w:p>
        </w:tc>
        <w:tc>
          <w:tcPr>
            <w:tcW w:w="1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3.要求提供公开出版物</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52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45" w:type="dxa"/>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0"/>
                <w:szCs w:val="20"/>
              </w:rPr>
            </w:pPr>
          </w:p>
        </w:tc>
        <w:tc>
          <w:tcPr>
            <w:tcW w:w="1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4.无正当理由大量反复申请</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52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45" w:type="dxa"/>
            <w:vMerge w:val="continue"/>
            <w:tcBorders>
              <w:top w:val="nil"/>
              <w:left w:val="nil"/>
              <w:bottom w:val="single" w:color="auto" w:sz="8" w:space="0"/>
              <w:right w:val="single" w:color="auto" w:sz="8" w:space="0"/>
            </w:tcBorders>
            <w:vAlign w:val="center"/>
          </w:tcPr>
          <w:p>
            <w:pPr>
              <w:widowControl/>
              <w:jc w:val="left"/>
              <w:rPr>
                <w:rFonts w:hint="eastAsia" w:asciiTheme="majorEastAsia" w:hAnsiTheme="majorEastAsia" w:eastAsiaTheme="majorEastAsia" w:cstheme="majorEastAsia"/>
                <w:kern w:val="0"/>
                <w:sz w:val="20"/>
                <w:szCs w:val="20"/>
              </w:rPr>
            </w:pPr>
          </w:p>
        </w:tc>
        <w:tc>
          <w:tcPr>
            <w:tcW w:w="197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0" w:lineRule="atLeast"/>
              <w:jc w:val="left"/>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5.要求行政机关确认或重新出具已获取信息</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52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81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（六）其他处理</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529"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81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Theme="majorEastAsia" w:hAnsiTheme="majorEastAsia" w:eastAsiaTheme="majorEastAsia" w:cstheme="majorEastAsia"/>
                <w:kern w:val="0"/>
                <w:sz w:val="20"/>
                <w:szCs w:val="20"/>
              </w:rPr>
            </w:pPr>
            <w:r>
              <w:rPr>
                <w:rFonts w:hint="eastAsia" w:asciiTheme="majorEastAsia" w:hAnsiTheme="majorEastAsia" w:eastAsiaTheme="majorEastAsia" w:cstheme="majorEastAsia"/>
                <w:kern w:val="0"/>
                <w:sz w:val="20"/>
                <w:szCs w:val="20"/>
              </w:rPr>
              <w:t>（七）总计</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Calibri"/>
                <w:kern w:val="0"/>
                <w:sz w:val="20"/>
                <w:szCs w:val="20"/>
                <w:lang w:val="en-US" w:eastAsia="zh-CN"/>
              </w:rPr>
              <w:t>0</w:t>
            </w:r>
          </w:p>
        </w:tc>
      </w:tr>
      <w:tr>
        <w:tblPrEx>
          <w:tblCellMar>
            <w:top w:w="0" w:type="dxa"/>
            <w:left w:w="0" w:type="dxa"/>
            <w:bottom w:w="0" w:type="dxa"/>
            <w:right w:w="0" w:type="dxa"/>
          </w:tblCellMar>
        </w:tblPrEx>
        <w:trPr>
          <w:jc w:val="center"/>
        </w:trPr>
        <w:tc>
          <w:tcPr>
            <w:tcW w:w="334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78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92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8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46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ind w:firstLine="200" w:firstLineChars="100"/>
              <w:jc w:val="left"/>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bl>
    <w:p>
      <w:pPr>
        <w:keepNext w:val="0"/>
        <w:keepLines w:val="0"/>
        <w:pageBreakBefore w:val="0"/>
        <w:widowControl w:val="0"/>
        <w:kinsoku/>
        <w:wordWrap/>
        <w:overflowPunct/>
        <w:topLinePunct w:val="0"/>
        <w:autoSpaceDE/>
        <w:autoSpaceDN/>
        <w:bidi w:val="0"/>
        <w:adjustRightInd/>
        <w:snapToGrid/>
        <w:spacing w:line="200" w:lineRule="exact"/>
        <w:ind w:firstLine="320" w:firstLineChars="100"/>
        <w:jc w:val="left"/>
        <w:textAlignment w:val="auto"/>
        <w:rPr>
          <w:rFonts w:hint="eastAsia" w:ascii="黑体" w:hAnsi="黑体" w:eastAsia="黑体" w:cs="黑体"/>
          <w:sz w:val="32"/>
          <w:szCs w:val="32"/>
        </w:rPr>
      </w:pPr>
    </w:p>
    <w:p>
      <w:pPr>
        <w:ind w:firstLine="320" w:firstLineChars="100"/>
        <w:jc w:val="left"/>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4"/>
        <w:tblpPr w:leftFromText="180" w:rightFromText="180" w:vertAnchor="text" w:horzAnchor="page" w:tblpX="1535" w:tblpY="45"/>
        <w:tblOverlap w:val="never"/>
        <w:tblW w:w="9071" w:type="dxa"/>
        <w:tblInd w:w="0" w:type="dxa"/>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CellMar>
            <w:top w:w="0" w:type="dxa"/>
            <w:left w:w="0" w:type="dxa"/>
            <w:bottom w:w="0" w:type="dxa"/>
            <w:right w:w="0" w:type="dxa"/>
          </w:tblCellMar>
        </w:tblPrEx>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CellMar>
            <w:top w:w="0" w:type="dxa"/>
            <w:left w:w="0" w:type="dxa"/>
            <w:bottom w:w="0" w:type="dxa"/>
            <w:right w:w="0" w:type="dxa"/>
          </w:tblCellMar>
        </w:tblPrEx>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CellMar>
            <w:top w:w="0" w:type="dxa"/>
            <w:left w:w="0" w:type="dxa"/>
            <w:bottom w:w="0" w:type="dxa"/>
            <w:right w:w="0" w:type="dxa"/>
          </w:tblCellMar>
        </w:tblPrEx>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ascii="Calibri" w:hAnsi="Calibri" w:eastAsia="宋体" w:cs="Calibri"/>
                <w:kern w:val="0"/>
                <w:sz w:val="20"/>
                <w:szCs w:val="20"/>
              </w:rPr>
              <w:t> </w:t>
            </w:r>
            <w:r>
              <w:rPr>
                <w:rFonts w:hint="eastAsia" w:ascii="Calibri" w:hAnsi="Calibri" w:eastAsia="宋体" w:cs="Calibri"/>
                <w:kern w:val="0"/>
                <w:sz w:val="20"/>
                <w:szCs w:val="20"/>
                <w:lang w:val="en-US" w:eastAsia="zh-CN"/>
              </w:rPr>
              <w:t>0</w:t>
            </w:r>
          </w:p>
        </w:tc>
      </w:tr>
    </w:tbl>
    <w:p>
      <w:pPr>
        <w:numPr>
          <w:ilvl w:val="0"/>
          <w:numId w:val="0"/>
        </w:numPr>
        <w:ind w:firstLine="320" w:firstLineChars="100"/>
        <w:rPr>
          <w:rFonts w:hint="eastAsia" w:ascii="黑体" w:hAnsi="黑体" w:eastAsia="黑体" w:cs="黑体"/>
          <w:b w:val="0"/>
          <w:bCs w:val="0"/>
          <w:color w:val="000000" w:themeColor="text1"/>
          <w:kern w:val="0"/>
          <w:sz w:val="32"/>
          <w:szCs w:val="32"/>
          <w:lang w:val="en-US" w:eastAsia="zh-CN"/>
          <w14:textFill>
            <w14:solidFill>
              <w14:schemeClr w14:val="tx1"/>
            </w14:solidFill>
          </w14:textFill>
        </w:rPr>
      </w:pPr>
      <w:r>
        <w:rPr>
          <w:rFonts w:hint="eastAsia" w:ascii="黑体" w:hAnsi="黑体" w:eastAsia="黑体" w:cs="黑体"/>
          <w:b w:val="0"/>
          <w:bCs w:val="0"/>
          <w:color w:val="000000" w:themeColor="text1"/>
          <w:kern w:val="0"/>
          <w:sz w:val="32"/>
          <w:szCs w:val="32"/>
          <w:lang w:val="en-US" w:eastAsia="zh-CN"/>
          <w14:textFill>
            <w14:solidFill>
              <w14:schemeClr w14:val="tx1"/>
            </w14:solidFill>
          </w14:textFill>
        </w:rPr>
        <w:t>五、存在的主要问题及改进情况</w:t>
      </w:r>
    </w:p>
    <w:p>
      <w:pPr>
        <w:keepNext w:val="0"/>
        <w:keepLines w:val="0"/>
        <w:pageBreakBefore w:val="0"/>
        <w:widowControl w:val="0"/>
        <w:kinsoku/>
        <w:wordWrap/>
        <w:overflowPunct/>
        <w:topLinePunct w:val="0"/>
        <w:autoSpaceDE/>
        <w:autoSpaceDN/>
        <w:bidi w:val="0"/>
        <w:adjustRightInd/>
        <w:snapToGrid/>
        <w:spacing w:line="500" w:lineRule="exact"/>
        <w:ind w:firstLine="321" w:firstLineChars="1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（一）存在的主要问题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1.政府信息公开专业化水平不高，实际工作中对政府信息的界定不够清晰。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2.制度建设和执行有待进一步完善及加强，政府信息公开的内容有待进一步完善，公开领域有待进一步拓展。</w:t>
      </w:r>
    </w:p>
    <w:p>
      <w:pPr>
        <w:keepNext w:val="0"/>
        <w:keepLines w:val="0"/>
        <w:pageBreakBefore w:val="0"/>
        <w:widowControl w:val="0"/>
        <w:kinsoku/>
        <w:wordWrap/>
        <w:overflowPunct/>
        <w:topLinePunct w:val="0"/>
        <w:autoSpaceDE/>
        <w:autoSpaceDN/>
        <w:bidi w:val="0"/>
        <w:adjustRightInd/>
        <w:snapToGrid/>
        <w:spacing w:line="500" w:lineRule="exact"/>
        <w:ind w:firstLine="321" w:firstLineChars="1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（二）改进情况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1.强化政府信息公开相关规定学习，积极参加业务培训，进一步提高工作人员能力和水平。</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2.结合新形势下对政府信息公开工作的新要求，不断完善政府信息公开工作制度建设，拓宽公开渠道，并加强工作创新，争取在规范化、制度化等方面取得新进展。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3.进一步丰富政府信息公开内容，进一步提高气象工作透明度。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sz w:val="32"/>
          <w:szCs w:val="32"/>
          <w:lang w:val="en-US" w:eastAsia="zh-CN"/>
        </w:rPr>
      </w:pPr>
    </w:p>
    <w:p>
      <w:pPr>
        <w:rPr>
          <w:rFonts w:hint="eastAsia"/>
          <w:lang w:val="en-US" w:eastAsia="zh-CN"/>
        </w:rPr>
      </w:pPr>
      <w:r>
        <w:rPr>
          <w:rFonts w:hint="eastAsia"/>
          <w:lang w:val="en-US" w:eastAsia="zh-CN"/>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AB4939"/>
    <w:rsid w:val="100C3D41"/>
    <w:rsid w:val="101A3FE7"/>
    <w:rsid w:val="150616C5"/>
    <w:rsid w:val="15746505"/>
    <w:rsid w:val="16382DA0"/>
    <w:rsid w:val="1F1C1CDB"/>
    <w:rsid w:val="22BF0155"/>
    <w:rsid w:val="25640D1C"/>
    <w:rsid w:val="286013BB"/>
    <w:rsid w:val="2ACD0D05"/>
    <w:rsid w:val="2B6E4FFE"/>
    <w:rsid w:val="37280A27"/>
    <w:rsid w:val="3B0C74C2"/>
    <w:rsid w:val="3C8D56F8"/>
    <w:rsid w:val="50916474"/>
    <w:rsid w:val="543F7D13"/>
    <w:rsid w:val="5E034325"/>
    <w:rsid w:val="5F317485"/>
    <w:rsid w:val="654F26C1"/>
    <w:rsid w:val="6FA052B7"/>
    <w:rsid w:val="749C274B"/>
    <w:rsid w:val="75285EF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黑小黑</cp:lastModifiedBy>
  <cp:lastPrinted>2020-03-11T07:10:00Z</cp:lastPrinted>
  <dcterms:modified xsi:type="dcterms:W3CDTF">2021-01-27T01:01:01Z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