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pacing w:val="-6"/>
          <w:sz w:val="44"/>
          <w:szCs w:val="44"/>
          <w:lang w:val="en-US" w:eastAsia="zh-CN"/>
        </w:rPr>
      </w:pPr>
      <w:bookmarkStart w:id="0" w:name="_GoBack"/>
      <w:r>
        <w:rPr>
          <w:rFonts w:hint="default" w:ascii="Times New Roman" w:hAnsi="Times New Roman" w:eastAsia="方正小标宋_GBK" w:cs="Times New Roman"/>
          <w:b w:val="0"/>
          <w:bCs w:val="0"/>
          <w:spacing w:val="-6"/>
          <w:sz w:val="44"/>
          <w:szCs w:val="44"/>
          <w:lang w:val="en-US" w:eastAsia="zh-CN"/>
        </w:rPr>
        <w:t>废止</w:t>
      </w:r>
      <w:r>
        <w:rPr>
          <w:rFonts w:hint="eastAsia" w:ascii="Times New Roman" w:hAnsi="Times New Roman" w:eastAsia="方正小标宋_GBK" w:cs="Times New Roman"/>
          <w:b w:val="0"/>
          <w:bCs w:val="0"/>
          <w:spacing w:val="-6"/>
          <w:sz w:val="44"/>
          <w:szCs w:val="44"/>
          <w:lang w:val="en-US" w:eastAsia="zh-CN"/>
        </w:rPr>
        <w:t>的</w:t>
      </w:r>
      <w:r>
        <w:rPr>
          <w:rFonts w:hint="default" w:ascii="Times New Roman" w:hAnsi="Times New Roman" w:eastAsia="方正小标宋_GBK" w:cs="Times New Roman"/>
          <w:b w:val="0"/>
          <w:bCs w:val="0"/>
          <w:spacing w:val="-6"/>
          <w:sz w:val="44"/>
          <w:szCs w:val="44"/>
          <w:lang w:val="en-US" w:eastAsia="zh-CN"/>
        </w:rPr>
        <w:t>行政规范性文件目录</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20"/>
        <w:jc w:val="left"/>
        <w:rPr>
          <w:rFonts w:hint="eastAsia" w:ascii="微软雅黑" w:hAnsi="微软雅黑" w:eastAsia="微软雅黑" w:cs="微软雅黑"/>
          <w:i w:val="0"/>
          <w:iCs w:val="0"/>
          <w:caps w:val="0"/>
          <w:color w:val="000000"/>
          <w:spacing w:val="0"/>
          <w:sz w:val="18"/>
          <w:szCs w:val="18"/>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20"/>
        <w:jc w:val="left"/>
        <w:rPr>
          <w:rFonts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截至2023年12月4日，总件数：15件</w:t>
      </w:r>
    </w:p>
    <w:tbl>
      <w:tblPr>
        <w:tblW w:w="13845"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914"/>
        <w:gridCol w:w="6794"/>
        <w:gridCol w:w="2170"/>
        <w:gridCol w:w="396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91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序号</w:t>
            </w:r>
          </w:p>
        </w:tc>
        <w:tc>
          <w:tcPr>
            <w:tcW w:w="679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行政规范性文件名称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文号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91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1</w:t>
            </w:r>
          </w:p>
        </w:tc>
        <w:tc>
          <w:tcPr>
            <w:tcW w:w="679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临沧市农业产业化经营市级龙头企业认定运行和监测管理暂行办法</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临政办发〔2007〕21号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已被临政办规〔2022〕3号废止</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91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w:t>
            </w:r>
          </w:p>
        </w:tc>
        <w:tc>
          <w:tcPr>
            <w:tcW w:w="679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临沧市人民政府办公室关于印发临沧市住房公积金管理办法补充规定的通知</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临政办发〔2008〕38号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予以废止</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91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3</w:t>
            </w:r>
          </w:p>
        </w:tc>
        <w:tc>
          <w:tcPr>
            <w:tcW w:w="679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临沧市人民政府关于贯彻落实云南省农民工权益保障办法的实施意见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临政发〔2009〕49号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予以废止</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91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4</w:t>
            </w:r>
          </w:p>
        </w:tc>
        <w:tc>
          <w:tcPr>
            <w:tcW w:w="679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临沧市医疗废物管理办法（试行）</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21"/>
                <w:szCs w:val="21"/>
                <w:bdr w:val="none" w:color="auto" w:sz="0" w:space="0"/>
              </w:rPr>
              <w:t>市政府公告〔2011〕1号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21"/>
                <w:szCs w:val="21"/>
                <w:bdr w:val="none" w:color="auto" w:sz="0" w:space="0"/>
              </w:rPr>
              <w:t>予以废止</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91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5</w:t>
            </w:r>
          </w:p>
        </w:tc>
        <w:tc>
          <w:tcPr>
            <w:tcW w:w="679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临沧市人民政府关于建立重特大疾病医疗救助机制的实施意见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临政办发〔2012〕93号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已废止，政策执行临政办字〔2022〕88号文件。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91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6</w:t>
            </w:r>
          </w:p>
        </w:tc>
        <w:tc>
          <w:tcPr>
            <w:tcW w:w="679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临沧市人民政府办公室关于印发临沧市人民政府督学聘任管理办法的通知</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临政办发〔2013〕38号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予以废止</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91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7</w:t>
            </w:r>
          </w:p>
        </w:tc>
        <w:tc>
          <w:tcPr>
            <w:tcW w:w="679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临沧市人民政府办公室关于印发临沧市财政票据管理办法的通知</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临政办发〔2013〕156号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予以废止，其主要内容已被新修订的《财政票据管理办法》涵盖。</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91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8</w:t>
            </w:r>
          </w:p>
        </w:tc>
        <w:tc>
          <w:tcPr>
            <w:tcW w:w="679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临沧市人民政府关于印发临沧市禁止焚烧蔗稍蔗叶管理办法的通知</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21"/>
                <w:szCs w:val="21"/>
                <w:bdr w:val="none" w:color="auto" w:sz="0" w:space="0"/>
              </w:rPr>
              <w:t>临政办发〔2014〕100号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21"/>
                <w:szCs w:val="21"/>
                <w:bdr w:val="none" w:color="auto" w:sz="0" w:space="0"/>
              </w:rPr>
              <w:t>予以废止</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91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9</w:t>
            </w:r>
          </w:p>
        </w:tc>
        <w:tc>
          <w:tcPr>
            <w:tcW w:w="679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临沧市人民政府办公室关于印发临沧市人民政府质量奖等管理办法和临沧市推进质量强市建设2017年度行动计划实施方案的通知</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临政办发〔2017〕171号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予以废止</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91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10</w:t>
            </w:r>
          </w:p>
        </w:tc>
        <w:tc>
          <w:tcPr>
            <w:tcW w:w="679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临沧市网络预约出租汽车经营服务管理暂行办法</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临政规〔2018〕1号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已废止，被临政规〔2022〕2号替代。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91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11</w:t>
            </w:r>
          </w:p>
        </w:tc>
        <w:tc>
          <w:tcPr>
            <w:tcW w:w="679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临沧市人民政府办公室关于印发临沧市提取住房公积金支付房租管理实施细则的通知</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临政办发〔2018〕143号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予以废止</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91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12</w:t>
            </w:r>
          </w:p>
        </w:tc>
        <w:tc>
          <w:tcPr>
            <w:tcW w:w="679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临沧市招商引资优惠及奖励政策（试行）</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临政发〔2020〕36号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已废止</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91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13</w:t>
            </w:r>
          </w:p>
        </w:tc>
        <w:tc>
          <w:tcPr>
            <w:tcW w:w="679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临沧市人民政府关于印发临沧市城市绿化规定的通知</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临政规〔2019〕1号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已制定出台《临沧市城市绿化条例》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1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14</w:t>
            </w:r>
          </w:p>
        </w:tc>
        <w:tc>
          <w:tcPr>
            <w:tcW w:w="679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临沧市人民政府办公室关于印发临沧市金融服务乡村振兴战略信贷风险补偿金管理暂行办法的通知</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临政办发〔2018〕29号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予以废止</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1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15</w:t>
            </w:r>
          </w:p>
        </w:tc>
        <w:tc>
          <w:tcPr>
            <w:tcW w:w="679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临沧市人民政府办公室关于应对新冠肺炎疫情影响进一步做好稳就业工作的实施意见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临政办发〔2020〕72号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21"/>
                <w:szCs w:val="21"/>
                <w:bdr w:val="none" w:color="auto" w:sz="0" w:space="0"/>
              </w:rPr>
              <w:t>予以废止</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jMTAwYzE0Nzg1NDlkNTc3ZjAwNTJjOGZhNGQyNjkifQ=="/>
  </w:docVars>
  <w:rsids>
    <w:rsidRoot w:val="6B9C2AFC"/>
    <w:rsid w:val="083D5445"/>
    <w:rsid w:val="14B95F62"/>
    <w:rsid w:val="157A2C04"/>
    <w:rsid w:val="6B9C2AFC"/>
    <w:rsid w:val="7AA96991"/>
    <w:rsid w:val="7C7863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1</Pages>
  <Words>0</Words>
  <Characters>0</Characters>
  <Lines>0</Lines>
  <Paragraphs>0</Paragraphs>
  <TotalTime>1</TotalTime>
  <ScaleCrop>false</ScaleCrop>
  <LinksUpToDate>false</LinksUpToDate>
  <CharactersWithSpaces>0</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2023-08-28T08:22:00Z</dcterms:created>
  <dc:creator>余文姣</dc:creator>
  <cp:lastModifiedBy>余文姣</cp:lastModifiedBy>
  <dcterms:modified xsi:type="dcterms:W3CDTF">2023-12-05T08:11:54Z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62CF0D2840E243F09B1D99533305776F_13</vt:lpwstr>
  </property>
</Properties>
</file>