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p>
    <w:p>
      <w:pPr>
        <w:pStyle w:val="7"/>
      </w:pPr>
    </w:p>
    <w:p>
      <w:pPr>
        <w:pStyle w:val="7"/>
      </w:pPr>
    </w:p>
    <w:p>
      <w:pPr>
        <w:pStyle w:val="7"/>
      </w:pPr>
    </w:p>
    <w:p>
      <w:pPr>
        <w:pStyle w:val="7"/>
      </w:pPr>
      <w:r>
        <w:t>窗体顶端</w:t>
      </w:r>
    </w:p>
    <w:p>
      <w:pPr>
        <w:pStyle w:val="2"/>
        <w:keepNext w:val="0"/>
        <w:keepLines w:val="0"/>
        <w:widowControl/>
        <w:suppressLineNumbers w:val="0"/>
        <w:spacing w:before="0" w:beforeAutospacing="1" w:after="0" w:afterAutospacing="1" w:line="435" w:lineRule="atLeast"/>
        <w:ind w:left="0" w:right="0" w:firstLine="420"/>
        <w:rPr>
          <w:sz w:val="21"/>
          <w:szCs w:val="21"/>
        </w:rPr>
      </w:pPr>
      <w:bookmarkStart w:id="0" w:name="_GoBack"/>
      <w:bookmarkEnd w:id="0"/>
      <w:r>
        <w:rPr>
          <w:rFonts w:hint="eastAsia" w:ascii="雅黑" w:hAnsi="雅黑" w:eastAsia="雅黑" w:cs="雅黑"/>
          <w:color w:val="000000"/>
          <w:sz w:val="21"/>
          <w:szCs w:val="21"/>
          <w:u w:val="none"/>
        </w:rPr>
        <w:t>本报告根据《中华人民共和国政府信息公开条例》规定编制。全文包括总体情况、主动公开政府信息情况、收到和处理政府信息公开申请情况、因政府信息公开工作被申请行政复议和提起行政诉讼情况、政府信息公开工作存在的主要问题及改进情况及其他需要报告的事项。本年度报告中所列数据统计期限从2021年1月1日到12月31日止，本报告可在临沧市人民政府门户网站政府信息公开年报专栏中查阅及下载（</w:t>
      </w:r>
      <w:r>
        <w:rPr>
          <w:rFonts w:hint="default" w:ascii="雅黑" w:hAnsi="雅黑" w:eastAsia="雅黑" w:cs="雅黑"/>
          <w:color w:val="1E50A2"/>
          <w:sz w:val="18"/>
          <w:szCs w:val="18"/>
          <w:u w:val="single"/>
        </w:rPr>
        <w:fldChar w:fldCharType="begin"/>
      </w:r>
      <w:r>
        <w:rPr>
          <w:rFonts w:hint="default" w:ascii="雅黑" w:hAnsi="雅黑" w:eastAsia="雅黑" w:cs="雅黑"/>
          <w:color w:val="1E50A2"/>
          <w:sz w:val="18"/>
          <w:szCs w:val="18"/>
          <w:u w:val="single"/>
        </w:rPr>
        <w:instrText xml:space="preserve"> HYPERLINK "http://www.lincang.gov.cn/" </w:instrText>
      </w:r>
      <w:r>
        <w:rPr>
          <w:rFonts w:hint="default" w:ascii="雅黑" w:hAnsi="雅黑" w:eastAsia="雅黑" w:cs="雅黑"/>
          <w:color w:val="1E50A2"/>
          <w:sz w:val="18"/>
          <w:szCs w:val="18"/>
          <w:u w:val="single"/>
        </w:rPr>
        <w:fldChar w:fldCharType="separate"/>
      </w:r>
      <w:r>
        <w:rPr>
          <w:rStyle w:val="5"/>
          <w:rFonts w:hint="default" w:ascii="雅黑" w:hAnsi="雅黑" w:eastAsia="雅黑" w:cs="雅黑"/>
          <w:color w:val="1E50A2"/>
          <w:sz w:val="18"/>
          <w:szCs w:val="18"/>
          <w:u w:val="single"/>
        </w:rPr>
        <w:t>http://www.lincang.gov.cn/</w:t>
      </w:r>
      <w:r>
        <w:rPr>
          <w:rFonts w:hint="default" w:ascii="雅黑" w:hAnsi="雅黑" w:eastAsia="雅黑" w:cs="雅黑"/>
          <w:color w:val="1E50A2"/>
          <w:sz w:val="18"/>
          <w:szCs w:val="18"/>
          <w:u w:val="single"/>
        </w:rPr>
        <w:fldChar w:fldCharType="end"/>
      </w:r>
      <w:r>
        <w:rPr>
          <w:rFonts w:hint="default" w:ascii="雅黑" w:hAnsi="雅黑" w:eastAsia="雅黑" w:cs="雅黑"/>
          <w:color w:val="000000"/>
          <w:sz w:val="21"/>
          <w:szCs w:val="21"/>
          <w:u w:val="none"/>
        </w:rPr>
        <w:t>）。</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一、总体情况</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临沧市人民政府办公室严格落实党中央、国务院关于全面推进政府信息公开工作的安排部署，紧紧围绕省委、省政府对政府信息公开的各项要求，践行服务群众的理念，聚焦社会关切，依法依规做好政务公开各项工作。</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一）主动公开。2021年，临沧市人民政府办公室共公开各类政府信息304篇，其中，部门通告信息共8篇，发布政策解读33篇。规划计划类信息6篇，政府文件29篇，政府办文件44篇，建议提案类信息178条、人事任免文件5篇，市政府办公室2020年度部门决算1篇；共编辑《临沧市人民政府公报》10期。</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（二）依申请公开。2021年共收到依申请公开88份，转办18份，其中自然人申请件87份，法人或其他组织申请件1份，已答复88份，均在法定期限内予以答复。答复率100%，全年收到行政复议1件，行政诉讼1件。</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三）政府信息管理。一是依法规范设置政府信息公开专栏，规范执行云南省政务公开工作要点的相关事项；二是畅通政务咨询渠道，充分发挥12345热线功能，2021年，12345政务热线市级热线平台话务拨打量8526个，办结率：95.77%；市人民政府门户网站“咨询建言”栏目共收到市民留言179件，办结率：96.09%，倾听民声、全力做好群众线上咨询服务工作。</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（四）平台建设。进一步推进政府网站集约化平台建设，不断优化网站搜索和下载功能，健全互动交流工作机制。</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五）监督保障方面。制定监管机制，一是优化考核方式和考核内容。结合全省的年度政务公开工作要点和全市的政务公开工作要点，调整考核项目、考核分值比重，引导各单位聚焦重点内容公开。二是加强检查督促和业务指导。对省政府办公厅政务公开工作评估以及本市年度考核评估中发现的问题,及时通报考核相关单位，要求严格落实整改。三做好政府网站和政务新媒体检查工作，每季度对全市政府网站和政务新媒体开展全面检查，发布季度通报，并向社会公布。四是结合《条例》，组织开展了线上线下结合的全市政务公开业务培训，不断提高全市政府信息公开工作人员的工作水平。</w:t>
      </w:r>
    </w:p>
    <w:p>
      <w:pPr>
        <w:pStyle w:val="2"/>
        <w:keepNext w:val="0"/>
        <w:keepLines w:val="0"/>
        <w:widowControl/>
        <w:suppressLineNumbers w:val="0"/>
        <w:spacing w:line="435" w:lineRule="atLeast"/>
        <w:ind w:left="0" w:firstLine="420"/>
        <w:rPr>
          <w:rFonts w:hint="default" w:ascii="雅黑" w:hAnsi="雅黑" w:eastAsia="雅黑" w:cs="雅黑"/>
          <w:color w:val="000000"/>
          <w:sz w:val="21"/>
          <w:szCs w:val="21"/>
          <w:u w:val="none"/>
        </w:rPr>
      </w:pPr>
      <w:r>
        <w:rPr>
          <w:rFonts w:hint="default" w:ascii="雅黑" w:hAnsi="雅黑" w:eastAsia="雅黑" w:cs="雅黑"/>
          <w:color w:val="000000"/>
          <w:sz w:val="21"/>
          <w:szCs w:val="21"/>
          <w:u w:val="none"/>
        </w:rPr>
        <w:t>二、主动公开政府信息情况</w:t>
      </w:r>
    </w:p>
    <w:tbl>
      <w:tblPr>
        <w:tblStyle w:val="6"/>
        <w:tblW w:w="8304" w:type="dxa"/>
        <w:jc w:val="center"/>
        <w:tblInd w:w="1" w:type="dxa"/>
        <w:shd w:val="clear" w:color="auto" w:fill="FFFFFF"/>
        <w:tblLayout w:type="fixed"/>
        <w:tblCellMar>
          <w:top w:w="0" w:type="dxa"/>
          <w:left w:w="0" w:type="dxa"/>
          <w:bottom w:w="0" w:type="dxa"/>
          <w:right w:w="0" w:type="dxa"/>
        </w:tblCellMar>
      </w:tblPr>
      <w:tblGrid>
        <w:gridCol w:w="2197"/>
        <w:gridCol w:w="2197"/>
        <w:gridCol w:w="2197"/>
        <w:gridCol w:w="1713"/>
      </w:tblGrid>
      <w:tr>
        <w:tblPrEx>
          <w:tblLayout w:type="fixed"/>
          <w:tblCellMar>
            <w:top w:w="0" w:type="dxa"/>
            <w:left w:w="0" w:type="dxa"/>
            <w:bottom w:w="0" w:type="dxa"/>
            <w:right w:w="0" w:type="dxa"/>
          </w:tblCellMar>
        </w:tblPrEx>
        <w:trPr>
          <w:jc w:val="center"/>
        </w:trPr>
        <w:tc>
          <w:tcPr>
            <w:tcW w:w="8304" w:type="dxa"/>
            <w:gridSpan w:val="4"/>
            <w:tcBorders>
              <w:top w:val="single" w:color="auto" w:sz="6" w:space="0"/>
              <w:left w:val="single" w:color="auto" w:sz="6" w:space="0"/>
              <w:bottom w:val="single" w:color="auto" w:sz="6" w:space="0"/>
              <w:right w:val="single" w:color="auto" w:sz="6" w:space="0"/>
            </w:tcBorders>
            <w:shd w:val="clear" w:color="auto" w:fill="C6D9F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第二十条第（一）项</w:t>
            </w:r>
          </w:p>
        </w:tc>
      </w:tr>
      <w:tr>
        <w:tblPrEx>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信息内容</w:t>
            </w:r>
          </w:p>
        </w:tc>
        <w:tc>
          <w:tcPr>
            <w:tcW w:w="2197" w:type="dxa"/>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本年</w:t>
            </w:r>
            <w:r>
              <w:rPr>
                <w:rStyle w:val="4"/>
                <w:rFonts w:hint="default" w:ascii="雅黑" w:hAnsi="雅黑" w:eastAsia="雅黑" w:cs="雅黑"/>
                <w:i w:val="0"/>
                <w:caps w:val="0"/>
                <w:color w:val="333333"/>
                <w:spacing w:val="0"/>
                <w:sz w:val="24"/>
                <w:szCs w:val="24"/>
                <w:u w:val="none"/>
              </w:rPr>
              <w:t>制发件数</w:t>
            </w:r>
          </w:p>
        </w:tc>
        <w:tc>
          <w:tcPr>
            <w:tcW w:w="2197" w:type="dxa"/>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本年废止件数</w:t>
            </w:r>
          </w:p>
        </w:tc>
        <w:tc>
          <w:tcPr>
            <w:tcW w:w="1713" w:type="dxa"/>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现行有效件</w:t>
            </w:r>
            <w:r>
              <w:rPr>
                <w:rStyle w:val="4"/>
                <w:rFonts w:hint="default" w:ascii="雅黑" w:hAnsi="雅黑" w:eastAsia="雅黑" w:cs="雅黑"/>
                <w:i w:val="0"/>
                <w:caps w:val="0"/>
                <w:color w:val="333333"/>
                <w:spacing w:val="0"/>
                <w:sz w:val="24"/>
                <w:szCs w:val="24"/>
                <w:u w:val="none"/>
              </w:rPr>
              <w:t>数</w:t>
            </w:r>
          </w:p>
        </w:tc>
      </w:tr>
      <w:tr>
        <w:tblPrEx>
          <w:shd w:val="clear" w:color="auto" w:fill="FFFFFF"/>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规章</w:t>
            </w:r>
          </w:p>
        </w:tc>
        <w:tc>
          <w:tcPr>
            <w:tcW w:w="21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0</w:t>
            </w:r>
          </w:p>
        </w:tc>
        <w:tc>
          <w:tcPr>
            <w:tcW w:w="21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0</w:t>
            </w:r>
          </w:p>
        </w:tc>
        <w:tc>
          <w:tcPr>
            <w:tcW w:w="1713"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0</w:t>
            </w:r>
          </w:p>
        </w:tc>
      </w:tr>
      <w:tr>
        <w:tblPrEx>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行政规范性文件</w:t>
            </w:r>
          </w:p>
        </w:tc>
        <w:tc>
          <w:tcPr>
            <w:tcW w:w="21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雅黑" w:hAnsi="雅黑" w:eastAsia="雅黑" w:cs="雅黑"/>
                <w:color w:val="000000"/>
                <w:sz w:val="24"/>
                <w:szCs w:val="24"/>
                <w:lang w:val="en-US" w:eastAsia="zh-CN"/>
              </w:rPr>
            </w:pPr>
            <w:r>
              <w:rPr>
                <w:rStyle w:val="4"/>
                <w:rFonts w:hint="eastAsia" w:ascii="雅黑" w:hAnsi="雅黑" w:eastAsia="雅黑" w:cs="雅黑"/>
                <w:i w:val="0"/>
                <w:caps w:val="0"/>
                <w:color w:val="000000"/>
                <w:spacing w:val="0"/>
                <w:sz w:val="24"/>
                <w:szCs w:val="24"/>
                <w:u w:val="none"/>
                <w:lang w:val="en-US" w:eastAsia="zh-CN"/>
              </w:rPr>
              <w:t>3</w:t>
            </w:r>
          </w:p>
        </w:tc>
        <w:tc>
          <w:tcPr>
            <w:tcW w:w="2197"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0</w:t>
            </w:r>
          </w:p>
        </w:tc>
        <w:tc>
          <w:tcPr>
            <w:tcW w:w="1713" w:type="dxa"/>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雅黑" w:hAnsi="雅黑" w:eastAsia="雅黑" w:cs="雅黑"/>
                <w:color w:val="000000"/>
                <w:sz w:val="24"/>
                <w:szCs w:val="24"/>
                <w:lang w:val="en-US" w:eastAsia="zh-CN"/>
              </w:rPr>
            </w:pPr>
            <w:r>
              <w:rPr>
                <w:rStyle w:val="4"/>
                <w:rFonts w:hint="eastAsia" w:ascii="雅黑" w:hAnsi="雅黑" w:eastAsia="雅黑" w:cs="雅黑"/>
                <w:i w:val="0"/>
                <w:caps w:val="0"/>
                <w:color w:val="000000"/>
                <w:spacing w:val="0"/>
                <w:sz w:val="24"/>
                <w:szCs w:val="24"/>
                <w:u w:val="none"/>
                <w:lang w:val="en-US" w:eastAsia="zh-CN"/>
              </w:rPr>
              <w:t>44</w:t>
            </w:r>
          </w:p>
        </w:tc>
      </w:tr>
      <w:tr>
        <w:tblPrEx>
          <w:tblLayout w:type="fixed"/>
          <w:tblCellMar>
            <w:top w:w="0" w:type="dxa"/>
            <w:left w:w="0" w:type="dxa"/>
            <w:bottom w:w="0" w:type="dxa"/>
            <w:right w:w="0" w:type="dxa"/>
          </w:tblCellMar>
        </w:tblPrEx>
        <w:trPr>
          <w:jc w:val="center"/>
        </w:trPr>
        <w:tc>
          <w:tcPr>
            <w:tcW w:w="8304" w:type="dxa"/>
            <w:gridSpan w:val="4"/>
            <w:tcBorders>
              <w:top w:val="nil"/>
              <w:left w:val="single" w:color="auto" w:sz="6" w:space="0"/>
              <w:bottom w:val="single" w:color="auto" w:sz="6" w:space="0"/>
              <w:right w:val="single" w:color="auto" w:sz="6" w:space="0"/>
            </w:tcBorders>
            <w:shd w:val="clear" w:color="auto" w:fill="C6D9F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第二十条第（五）项</w:t>
            </w:r>
          </w:p>
        </w:tc>
      </w:tr>
      <w:tr>
        <w:tblPrEx>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信息内容</w:t>
            </w:r>
          </w:p>
        </w:tc>
        <w:tc>
          <w:tcPr>
            <w:tcW w:w="6107" w:type="dxa"/>
            <w:gridSpan w:val="3"/>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本年处理决定数量</w:t>
            </w:r>
          </w:p>
        </w:tc>
      </w:tr>
      <w:tr>
        <w:tblPrEx>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行政许可</w:t>
            </w:r>
          </w:p>
        </w:tc>
        <w:tc>
          <w:tcPr>
            <w:tcW w:w="6107" w:type="dxa"/>
            <w:gridSpan w:val="3"/>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雅黑" w:hAnsi="雅黑" w:eastAsia="雅黑" w:cs="雅黑"/>
                <w:color w:val="000000"/>
                <w:sz w:val="24"/>
                <w:szCs w:val="24"/>
                <w:lang w:val="en-US" w:eastAsia="zh-CN"/>
              </w:rPr>
            </w:pPr>
            <w:r>
              <w:rPr>
                <w:rStyle w:val="4"/>
                <w:rFonts w:hint="eastAsia" w:ascii="雅黑" w:hAnsi="雅黑" w:eastAsia="雅黑" w:cs="雅黑"/>
                <w:i w:val="0"/>
                <w:caps w:val="0"/>
                <w:color w:val="000000"/>
                <w:spacing w:val="0"/>
                <w:sz w:val="24"/>
                <w:szCs w:val="24"/>
                <w:u w:val="none"/>
                <w:lang w:val="en-US" w:eastAsia="zh-CN"/>
              </w:rPr>
              <w:t>0</w:t>
            </w:r>
          </w:p>
        </w:tc>
      </w:tr>
      <w:tr>
        <w:tblPrEx>
          <w:tblLayout w:type="fixed"/>
          <w:tblCellMar>
            <w:top w:w="0" w:type="dxa"/>
            <w:left w:w="0" w:type="dxa"/>
            <w:bottom w:w="0" w:type="dxa"/>
            <w:right w:w="0" w:type="dxa"/>
          </w:tblCellMar>
        </w:tblPrEx>
        <w:trPr>
          <w:jc w:val="center"/>
        </w:trPr>
        <w:tc>
          <w:tcPr>
            <w:tcW w:w="8304" w:type="dxa"/>
            <w:gridSpan w:val="4"/>
            <w:tcBorders>
              <w:top w:val="nil"/>
              <w:left w:val="single" w:color="auto" w:sz="6" w:space="0"/>
              <w:bottom w:val="single" w:color="auto" w:sz="6" w:space="0"/>
              <w:right w:val="single" w:color="auto" w:sz="6" w:space="0"/>
            </w:tcBorders>
            <w:shd w:val="clear" w:color="auto" w:fill="C6D9F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第二十条第（六）项</w:t>
            </w:r>
          </w:p>
        </w:tc>
      </w:tr>
      <w:tr>
        <w:tblPrEx>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信息内容</w:t>
            </w:r>
          </w:p>
        </w:tc>
        <w:tc>
          <w:tcPr>
            <w:tcW w:w="6107" w:type="dxa"/>
            <w:gridSpan w:val="3"/>
            <w:tcBorders>
              <w:top w:val="single" w:color="auto" w:sz="6" w:space="0"/>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本年处理决定数量</w:t>
            </w:r>
          </w:p>
        </w:tc>
      </w:tr>
      <w:tr>
        <w:tblPrEx>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行政处罚</w:t>
            </w:r>
          </w:p>
        </w:tc>
        <w:tc>
          <w:tcPr>
            <w:tcW w:w="6107" w:type="dxa"/>
            <w:gridSpan w:val="3"/>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eastAsia" w:ascii="雅黑" w:hAnsi="雅黑" w:eastAsia="雅黑" w:cs="雅黑"/>
                <w:color w:val="000000"/>
                <w:sz w:val="24"/>
                <w:szCs w:val="24"/>
                <w:lang w:val="en-US" w:eastAsia="zh-CN"/>
              </w:rPr>
            </w:pPr>
            <w:r>
              <w:rPr>
                <w:rStyle w:val="4"/>
                <w:rFonts w:hint="eastAsia" w:ascii="雅黑" w:hAnsi="雅黑" w:eastAsia="雅黑" w:cs="雅黑"/>
                <w:i w:val="0"/>
                <w:caps w:val="0"/>
                <w:color w:val="000000"/>
                <w:spacing w:val="0"/>
                <w:sz w:val="24"/>
                <w:szCs w:val="24"/>
                <w:u w:val="none"/>
                <w:lang w:val="en-US" w:eastAsia="zh-CN"/>
              </w:rPr>
              <w:t>0</w:t>
            </w:r>
          </w:p>
        </w:tc>
      </w:tr>
      <w:tr>
        <w:tblPrEx>
          <w:shd w:val="clear" w:color="auto" w:fill="FFFFFF"/>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行政强制</w:t>
            </w:r>
          </w:p>
        </w:tc>
        <w:tc>
          <w:tcPr>
            <w:tcW w:w="6107" w:type="dxa"/>
            <w:gridSpan w:val="3"/>
            <w:tcBorders>
              <w:top w:val="nil"/>
              <w:left w:val="nil"/>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0</w:t>
            </w:r>
          </w:p>
        </w:tc>
      </w:tr>
      <w:tr>
        <w:tblPrEx>
          <w:tblLayout w:type="fixed"/>
          <w:tblCellMar>
            <w:top w:w="0" w:type="dxa"/>
            <w:left w:w="0" w:type="dxa"/>
            <w:bottom w:w="0" w:type="dxa"/>
            <w:right w:w="0" w:type="dxa"/>
          </w:tblCellMar>
        </w:tblPrEx>
        <w:trPr>
          <w:jc w:val="center"/>
        </w:trPr>
        <w:tc>
          <w:tcPr>
            <w:tcW w:w="8304" w:type="dxa"/>
            <w:gridSpan w:val="4"/>
            <w:tcBorders>
              <w:top w:val="nil"/>
              <w:left w:val="single" w:color="auto" w:sz="6" w:space="0"/>
              <w:bottom w:val="single" w:color="auto" w:sz="6" w:space="0"/>
              <w:right w:val="single" w:color="auto" w:sz="6" w:space="0"/>
            </w:tcBorders>
            <w:shd w:val="clear" w:color="auto" w:fill="C6D9F1"/>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第二十条第（八）项</w:t>
            </w:r>
          </w:p>
        </w:tc>
      </w:tr>
      <w:tr>
        <w:tblPrEx>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信息内容</w:t>
            </w:r>
          </w:p>
        </w:tc>
        <w:tc>
          <w:tcPr>
            <w:tcW w:w="6107" w:type="dxa"/>
            <w:gridSpan w:val="3"/>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本年收费金额（单位：万元）</w:t>
            </w:r>
          </w:p>
        </w:tc>
      </w:tr>
      <w:tr>
        <w:tblPrEx>
          <w:tblLayout w:type="fixed"/>
          <w:tblCellMar>
            <w:top w:w="0" w:type="dxa"/>
            <w:left w:w="0" w:type="dxa"/>
            <w:bottom w:w="0" w:type="dxa"/>
            <w:right w:w="0" w:type="dxa"/>
          </w:tblCellMar>
        </w:tblPrEx>
        <w:trPr>
          <w:jc w:val="center"/>
        </w:trPr>
        <w:tc>
          <w:tcPr>
            <w:tcW w:w="2197" w:type="dxa"/>
            <w:tcBorders>
              <w:top w:val="nil"/>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000000"/>
                <w:spacing w:val="0"/>
                <w:sz w:val="24"/>
                <w:szCs w:val="24"/>
                <w:u w:val="none"/>
              </w:rPr>
              <w:t>行政事业性收费</w:t>
            </w:r>
          </w:p>
        </w:tc>
        <w:tc>
          <w:tcPr>
            <w:tcW w:w="6107" w:type="dxa"/>
            <w:gridSpan w:val="3"/>
            <w:tcBorders>
              <w:top w:val="nil"/>
              <w:left w:val="nil"/>
              <w:bottom w:val="single" w:color="auto" w:sz="6" w:space="0"/>
              <w:right w:val="single"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雅黑" w:hAnsi="雅黑" w:eastAsia="雅黑" w:cs="雅黑"/>
                <w:color w:val="000000"/>
                <w:sz w:val="24"/>
                <w:szCs w:val="24"/>
              </w:rPr>
            </w:pPr>
            <w:r>
              <w:rPr>
                <w:rStyle w:val="4"/>
                <w:rFonts w:hint="default" w:ascii="雅黑" w:hAnsi="雅黑" w:eastAsia="雅黑" w:cs="雅黑"/>
                <w:i w:val="0"/>
                <w:caps w:val="0"/>
                <w:color w:val="333333"/>
                <w:spacing w:val="0"/>
                <w:sz w:val="24"/>
                <w:szCs w:val="24"/>
                <w:u w:val="none"/>
              </w:rPr>
              <w:t>0</w:t>
            </w:r>
          </w:p>
        </w:tc>
      </w:tr>
    </w:tbl>
    <w:p>
      <w:pPr>
        <w:pStyle w:val="2"/>
        <w:keepNext w:val="0"/>
        <w:keepLines w:val="0"/>
        <w:widowControl/>
        <w:suppressLineNumbers w:val="0"/>
        <w:spacing w:line="435" w:lineRule="atLeast"/>
        <w:ind w:firstLine="420" w:firstLineChars="200"/>
        <w:rPr>
          <w:sz w:val="21"/>
          <w:szCs w:val="21"/>
        </w:rPr>
      </w:pPr>
      <w:r>
        <w:rPr>
          <w:rFonts w:hint="default" w:ascii="雅黑" w:hAnsi="雅黑" w:eastAsia="雅黑" w:cs="雅黑"/>
          <w:color w:val="000000"/>
          <w:sz w:val="21"/>
          <w:szCs w:val="21"/>
          <w:u w:val="none"/>
        </w:rPr>
        <w:t>三、收到和处理政府信息公开申请情况</w:t>
      </w:r>
    </w:p>
    <w:tbl>
      <w:tblPr>
        <w:tblStyle w:val="6"/>
        <w:tblW w:w="8269" w:type="dxa"/>
        <w:jc w:val="center"/>
        <w:tblInd w:w="64"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5"/>
        <w:gridCol w:w="814"/>
        <w:gridCol w:w="2730"/>
        <w:gridCol w:w="570"/>
        <w:gridCol w:w="570"/>
        <w:gridCol w:w="570"/>
        <w:gridCol w:w="570"/>
        <w:gridCol w:w="570"/>
        <w:gridCol w:w="630"/>
        <w:gridCol w:w="60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189" w:type="dxa"/>
            <w:gridSpan w:val="3"/>
            <w:vMerge w:val="restart"/>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（本列数据的勾稽关系为：第一项加第二项之和，等于第三项加第四项之和）</w:t>
            </w:r>
          </w:p>
        </w:tc>
        <w:tc>
          <w:tcPr>
            <w:tcW w:w="4080" w:type="dxa"/>
            <w:gridSpan w:val="7"/>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shd w:val="clear" w:fill="FFFFFF"/>
              </w:rPr>
              <w:t>申请人情况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189" w:type="dxa"/>
            <w:gridSpan w:val="3"/>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570" w:type="dxa"/>
            <w:vMerge w:val="restart"/>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自然人</w:t>
            </w:r>
          </w:p>
        </w:tc>
        <w:tc>
          <w:tcPr>
            <w:tcW w:w="2910" w:type="dxa"/>
            <w:gridSpan w:val="5"/>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法人或其他组织</w:t>
            </w:r>
          </w:p>
        </w:tc>
        <w:tc>
          <w:tcPr>
            <w:tcW w:w="600" w:type="dxa"/>
            <w:vMerge w:val="restart"/>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4189" w:type="dxa"/>
            <w:gridSpan w:val="3"/>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570"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商业</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企业</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科研</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机构</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社会公益组织</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法律服务机构</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其他</w:t>
            </w:r>
          </w:p>
        </w:tc>
        <w:tc>
          <w:tcPr>
            <w:tcW w:w="600"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189" w:type="dxa"/>
            <w:gridSpan w:val="3"/>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一、本年新收政府信息公开申请数量</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87</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189" w:type="dxa"/>
            <w:gridSpan w:val="3"/>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二、上年结转政府信息公开申请数量</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restart"/>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三、本年度办理结果</w:t>
            </w:r>
          </w:p>
        </w:tc>
        <w:tc>
          <w:tcPr>
            <w:tcW w:w="3544" w:type="dxa"/>
            <w:gridSpan w:val="2"/>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（一）予以公开</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59</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3544" w:type="dxa"/>
            <w:gridSpan w:val="2"/>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（二）部分公开（区分处理的，只计这一情形，不计其他情形）</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restart"/>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（三）不予公开</w:t>
            </w: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1.属于国家秘密</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2.其他法律行政法规禁止公开</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3.危及“三安全一稳定”</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4.保护第三方合法权益</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5.属于三类内部事务信息</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6.属于四类过程性信息</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7.属于行政执法案卷</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8.属于行政查询事项</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restart"/>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（四）无法提供</w:t>
            </w: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1.本机关不掌握相关政府信息</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2.没有现成信息需要另行制作</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3.补正后申请内容仍不明确</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restart"/>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（五）不予处理</w:t>
            </w: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1.信访举报投诉类申请</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2.重复申请</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5</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3.要求提供公开出版物</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4.无正当理由大量反复申请</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5.要求行政机关确认或重新出具已获取信息</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restart"/>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（六）其他处理</w:t>
            </w: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1.申请人无正当理由逾期不补正、行政机关不再处理其政府信息公开申请</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2.申请人逾期未按收费通知要求缴纳费用、行政机关不再处理其政府信息公开申请</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814"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27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3.其他</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23</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5" w:type="dxa"/>
            <w:vMerge w:val="continue"/>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3544" w:type="dxa"/>
            <w:gridSpan w:val="2"/>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（七）总计</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88</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88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189" w:type="dxa"/>
            <w:gridSpan w:val="3"/>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四、结转下年度继续办理</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7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3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EDF5FA"/>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bl>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四、政府信息公开行政复议、行政诉讼情况</w:t>
      </w:r>
    </w:p>
    <w:tbl>
      <w:tblPr>
        <w:tblStyle w:val="6"/>
        <w:tblW w:w="8295" w:type="dxa"/>
        <w:jc w:val="center"/>
        <w:tblInd w:w="5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40"/>
        <w:gridCol w:w="540"/>
        <w:gridCol w:w="540"/>
        <w:gridCol w:w="540"/>
        <w:gridCol w:w="600"/>
        <w:gridCol w:w="540"/>
        <w:gridCol w:w="540"/>
        <w:gridCol w:w="540"/>
        <w:gridCol w:w="540"/>
        <w:gridCol w:w="600"/>
        <w:gridCol w:w="540"/>
        <w:gridCol w:w="540"/>
        <w:gridCol w:w="540"/>
        <w:gridCol w:w="540"/>
        <w:gridCol w:w="6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760" w:type="dxa"/>
            <w:gridSpan w:val="5"/>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行政复议</w:t>
            </w:r>
          </w:p>
        </w:tc>
        <w:tc>
          <w:tcPr>
            <w:tcW w:w="5535" w:type="dxa"/>
            <w:gridSpan w:val="10"/>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行政诉讼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0"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结果维持</w:t>
            </w:r>
          </w:p>
        </w:tc>
        <w:tc>
          <w:tcPr>
            <w:tcW w:w="540"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结果</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纠正</w:t>
            </w:r>
          </w:p>
        </w:tc>
        <w:tc>
          <w:tcPr>
            <w:tcW w:w="540"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其他</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结果</w:t>
            </w:r>
          </w:p>
        </w:tc>
        <w:tc>
          <w:tcPr>
            <w:tcW w:w="540"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尚未</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审结</w:t>
            </w:r>
          </w:p>
        </w:tc>
        <w:tc>
          <w:tcPr>
            <w:tcW w:w="600"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总计</w:t>
            </w:r>
          </w:p>
        </w:tc>
        <w:tc>
          <w:tcPr>
            <w:tcW w:w="2760" w:type="dxa"/>
            <w:gridSpan w:val="5"/>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未经复议直接起诉</w:t>
            </w:r>
          </w:p>
        </w:tc>
        <w:tc>
          <w:tcPr>
            <w:tcW w:w="2775" w:type="dxa"/>
            <w:gridSpan w:val="5"/>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复议后起诉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4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54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54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54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600"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rPr>
                <w:rFonts w:hint="default" w:ascii="雅黑" w:hAnsi="雅黑" w:eastAsia="雅黑" w:cs="雅黑"/>
                <w:color w:val="000000"/>
                <w:sz w:val="18"/>
                <w:szCs w:val="18"/>
                <w:u w:val="none"/>
              </w:rPr>
            </w:pP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结果</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维持</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结果</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纠正</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其他</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结果</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尚未</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审结</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总计</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结果</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维持</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结果</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纠正</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其他</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结果</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尚未</w:t>
            </w:r>
          </w:p>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审结</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jc w:val="center"/>
        </w:trPr>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0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1</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540"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c>
          <w:tcPr>
            <w:tcW w:w="61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center"/>
          </w:tcPr>
          <w:p>
            <w:pPr>
              <w:pStyle w:val="2"/>
              <w:keepNext w:val="0"/>
              <w:keepLines w:val="0"/>
              <w:widowControl/>
              <w:suppressLineNumbers w:val="0"/>
              <w:spacing w:before="0" w:beforeAutospacing="0" w:after="0" w:afterAutospacing="0" w:line="435" w:lineRule="atLeast"/>
              <w:ind w:left="0" w:right="0" w:firstLine="0"/>
              <w:rPr>
                <w:sz w:val="21"/>
                <w:szCs w:val="21"/>
              </w:rPr>
            </w:pPr>
            <w:r>
              <w:rPr>
                <w:rStyle w:val="4"/>
                <w:rFonts w:hint="default" w:ascii="雅黑" w:hAnsi="雅黑" w:eastAsia="雅黑" w:cs="雅黑"/>
                <w:color w:val="000000"/>
                <w:sz w:val="24"/>
                <w:szCs w:val="24"/>
                <w:u w:val="none"/>
              </w:rPr>
              <w:t>0</w:t>
            </w:r>
          </w:p>
        </w:tc>
      </w:tr>
    </w:tbl>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五、存在的主要问题及改进情况</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（一）主要问题。一是需要继续落实各主体责任。二是政务公开标准化建设仍需要进一步深入推进。三是需要进一步加强信息公开平台建设。四是政策解读方式有待近一步创新。</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二）改进措施。一是做好年度政务公开培训，切实提高培训质量。二是优化政务公开目录，继续抓好政务公开标准化规范化建设。三是扎实推进平台建设，加强检索等网站功能设置。四是丰富解读形式，运用政策问答、动漫、图解图表、视频、新闻发布会等多种形式进行政策解读，有效回应社会关切。</w:t>
      </w:r>
    </w:p>
    <w:p>
      <w:pPr>
        <w:pStyle w:val="2"/>
        <w:keepNext w:val="0"/>
        <w:keepLines w:val="0"/>
        <w:widowControl/>
        <w:suppressLineNumbers w:val="0"/>
        <w:spacing w:line="435" w:lineRule="atLeast"/>
        <w:ind w:left="0" w:firstLine="420"/>
        <w:rPr>
          <w:sz w:val="21"/>
          <w:szCs w:val="21"/>
        </w:rPr>
      </w:pPr>
      <w:r>
        <w:rPr>
          <w:rFonts w:hint="default" w:ascii="雅黑" w:hAnsi="雅黑" w:eastAsia="雅黑" w:cs="雅黑"/>
          <w:color w:val="000000"/>
          <w:sz w:val="21"/>
          <w:szCs w:val="21"/>
          <w:u w:val="none"/>
        </w:rPr>
        <w:t>六、其他需要报告的事项</w:t>
      </w:r>
    </w:p>
    <w:p>
      <w:pPr>
        <w:pStyle w:val="2"/>
        <w:keepNext w:val="0"/>
        <w:keepLines w:val="0"/>
        <w:widowControl/>
        <w:suppressLineNumbers w:val="0"/>
        <w:spacing w:before="0" w:beforeAutospacing="1" w:after="0" w:afterAutospacing="1" w:line="435" w:lineRule="atLeast"/>
        <w:ind w:left="0" w:right="0" w:firstLine="420"/>
        <w:rPr>
          <w:sz w:val="21"/>
          <w:szCs w:val="21"/>
        </w:rPr>
      </w:pPr>
      <w:r>
        <w:rPr>
          <w:rFonts w:hint="default" w:ascii="雅黑" w:hAnsi="雅黑" w:eastAsia="雅黑" w:cs="雅黑"/>
          <w:color w:val="000000"/>
          <w:sz w:val="21"/>
          <w:szCs w:val="21"/>
          <w:u w:val="none"/>
        </w:rPr>
        <w:t>2021年度本机关未收取政府信息公开信息处理费。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D43DB"/>
    <w:rsid w:val="015E5EE4"/>
    <w:rsid w:val="050605AC"/>
    <w:rsid w:val="05C46C1F"/>
    <w:rsid w:val="0C3A3379"/>
    <w:rsid w:val="0D290DB8"/>
    <w:rsid w:val="16E511F4"/>
    <w:rsid w:val="223F58A1"/>
    <w:rsid w:val="458126DC"/>
    <w:rsid w:val="508E053E"/>
    <w:rsid w:val="53947037"/>
    <w:rsid w:val="59121424"/>
    <w:rsid w:val="63F94887"/>
    <w:rsid w:val="6C6F5C63"/>
    <w:rsid w:val="6CC238D4"/>
    <w:rsid w:val="6FC35776"/>
    <w:rsid w:val="768E583A"/>
    <w:rsid w:val="7DE749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 w:type="paragraph" w:customStyle="1" w:styleId="7">
    <w:name w:val="_Style 6"/>
    <w:basedOn w:val="1"/>
    <w:next w:val="1"/>
    <w:uiPriority w:val="0"/>
    <w:pPr>
      <w:pBdr>
        <w:bottom w:val="single" w:color="auto" w:sz="6" w:space="1"/>
      </w:pBdr>
      <w:jc w:val="center"/>
    </w:pPr>
    <w:rPr>
      <w:rFonts w:ascii="Arial" w:eastAsia="宋体"/>
      <w:vanish/>
      <w:sz w:val="16"/>
    </w:rPr>
  </w:style>
  <w:style w:type="paragraph" w:customStyle="1" w:styleId="8">
    <w:name w:val="_Style 7"/>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信息采集员</cp:lastModifiedBy>
  <dcterms:modified xsi:type="dcterms:W3CDTF">2022-04-29T01:29:46Z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