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309第4项：河道管理范围内特定活动审批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val="0"/>
          <w:strike w:val="0"/>
          <w:dstrike w:val="0"/>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32"/>
          <w:szCs w:val="32"/>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河道管理范围内特定活动审批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临沧市水务局、县级水利部门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《中华人民共和国河道管理条例》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1.河道管理范围内特定活动审批（设区的市级权限）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2.河道管理范围内特定活动审批（县级权限）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河道管理范围内特定活动审批</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【000119104003】</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河道管理范围内特定活动审批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00011910400Y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河道管理范围内特定活动审批（设区的市级权限）【000119104003】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1.河道管理范围内特定活动审批（设区的市级权限）（00011910400301）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（2）《水行政许可实施办法》（水利部令第23号发布）第44条、第44条、第45条、第46条、第50条、第55条、第56条、第57条、第58条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11.受理层级：市</w:t>
      </w:r>
      <w:r>
        <w:rPr>
          <w:rFonts w:hint="default" w:ascii="Times New Roman" w:hAnsi="Times New Roman" w:eastAsia="方正仿宋_GBK" w:cs="Times New Roman"/>
          <w:b w:val="0"/>
          <w:bCs w:val="0"/>
          <w:strike w:val="0"/>
          <w:dstrike w:val="0"/>
          <w:color w:val="auto"/>
          <w:sz w:val="32"/>
          <w:szCs w:val="32"/>
          <w:lang w:val="en-US" w:eastAsia="zh-CN"/>
        </w:rPr>
        <w:t>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河道管理范围内有关活动（不含河道采砂）审批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在河道管理范围内开展特定活动的单位和个人。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所申请的河道管理范围内特定活动审批权限属于相关市级水行政主管部门管理权限范围。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①不符合水法律法规、生态敏感区相关法律法规以及生态红线管控要求；②不符合流域综合规划及防洪规划、河流治理规划、岸线利用管理规划等规划要求，对规划实施有不利影响；③不符合防洪（排涝）标准；④对河流岸线、河势稳定、水流形态、冲淤变化、河水水质等有不利影响；⑤妨碍河道行洪，降低河道泄洪能力的；⑥对堤防、护岸和其他水利工程和设施等有不利影响；⑦对防汛抢险和水利管理等有不利影响；⑧项目防御洪涝的设防标准与措施不当；⑨对利益第三方有不利影响，或与利益第三方未达成协议的。</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（1）《中华人民共和国河道管理条例》第25条在河道管理范围内进行下列活动，必须报经河道主管机关批准；涉及其他部门的，由河道主管机关会同有关部门批准：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（一）采砂、取土、淘金、弃置砂石或者淤泥；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（二）爆破、钻探、挖筑鱼塘；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（三）在河道滩地存放物料、修建厂房或者其他建筑设施；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（四）在河道滩地开采地下资源及进行考古发掘。</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1.明确河湖水域岸线空间管控边界；2.严格岸线分区分类管控；3.严格管控各类水域岸线利用行为；4.依法规范河湖管理范围内耕地利用；5.推进河湖水域岸线整治修复；6.规范沿河沿湖绿色生态廊道建设。</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在国家审批时限压减至18个工作日的基础上，进一步将承诺审批时限压减至5个工作日。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活动许可、实施阶段的监督检查。2.建立河湖日常监管巡查制度，结合水利工程巡查管护、防汛检查等工作，开展涉河活动巡查检查。3.利用大数据、卫星遥感、航空遥感、视频监控等技术手段进行动态监控。4.畅通公众举报渠道，严肃查处违法违规涉河活动。5.明确监管责任主体。相关流域管理机构、地方各级水行政主管部门要按照“谁审批、谁监管”要求，明确涉河活动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河道管理范围内特定活动审批申请书；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开展河道管理范围内特定活动所依据的文件；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河道管理范围内特定活动实施方案；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现场清理复原承诺文件；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与有显著利害关系的第三方达成的协议或该第三方的承诺函。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 7号）第5条建设单位编制立项文件时必须按照河道管理权限， 向河道主管机关提出申请。 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对于重要的建设项目，建设单位还应编制更详尽的防洪评价报告。在河道管理范围内修建未列入国家基建计划的各种建筑物，应在申办建设许可证前向河道主管机关提出申请。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33条、第34条、第35条、第36条、第37条、第38条、第39条、第40条、第41条、第42条、第43条、第44条、第45条、第46条、第47条、第48条、第49条、第50条、第51条、第52条、第53条、第54条、第55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第53条　实施本法第十二条第二项所列事项的行政许可的，行政机关应当通过招标、拍卖等公平竞争的方式作出决定。但是，法律、行政法规另有规定的，依照其规定。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行政机关通过招标、拍卖等方式作出行政许可决定的具体程序，依照有关法律、行政法规的规定。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行政机关按照招标、拍卖程序确定中标人、买受人后，应当作出准予行政许可的决定，并依法向中标人、买受人颁发行政许可证件。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行政机关违反本条规定，不采用招标、拍卖方式，或者违反招标、拍卖程序，损害申请人合法权益的，申请人可以依法申请行政复议或者提起行政诉讼。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第54条　实施本法第十二条第三项所列事项的行政许可，赋予公民特定资格，依法应当举行国家考试的，行政机关根据考试成绩和其他法定条件作出行政许可决定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赋予法人或者其他组织特定的资格、资质的，行政机关根据申请人的专业人员构成、技术条件、经营业绩和管理水平等的考核结果作出行政许可决定。但是，法律、行政法规另有规定的，依照其规定。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公民特定资格的考试依法由行政机关或者行业组织实施，公开举行。行政机关或者行业组织应当事先公布资格考试的报名条件、报考办法、考试科目以及考试大纲。但是，不得组织强制性的资格考试的考前培训，不得指定教材或者其他助考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第55条　实施本法第十二条第四项所列事项的行政许可的，应当按照技术标准、技术规范依法进行检验、检测、检疫，行政机关根据检验、检测、检疫的结果作出行政许可决定。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应当自受理申请之日起五日内指派两名以上工作人员按照技术标准、技术规范进行检验、检测、检疫。不需要对检验、检测、检疫结果作进一步技术分析即可认定设备、设施、产品、物品是否符合技术标准、技术规范的，行政机关应当当场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行政机关根据检验、检测、检疫结果，作出不予行政许可决定的，应当书面说明不予行政许可所依据的技术标准、技术规范。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bookmarkStart w:id="0" w:name="_GoBack"/>
      <w:bookmarkEnd w:id="0"/>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河道管理范围内特定活动审批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【00011910400301】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kern w:val="2"/>
          <w:sz w:val="32"/>
          <w:szCs w:val="32"/>
          <w:lang w:val="en-US" w:eastAsia="zh-CN" w:bidi="ar-SA"/>
        </w:rPr>
        <w:t>一、</w:t>
      </w:r>
      <w:r>
        <w:rPr>
          <w:rFonts w:hint="default" w:ascii="Times New Roman" w:hAnsi="Times New Roman" w:eastAsia="黑体" w:cs="Times New Roman"/>
          <w:b w:val="0"/>
          <w:bCs w:val="0"/>
          <w:strike w:val="0"/>
          <w:dstrike w:val="0"/>
          <w:color w:val="auto"/>
          <w:sz w:val="32"/>
          <w:szCs w:val="32"/>
          <w:lang w:val="en-US" w:eastAsia="zh-CN"/>
        </w:rPr>
        <w:t>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河道管理范围内特定活动审批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00011910400Y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河道管理范围内特定活动审批（设区的市级权限）【000119104003】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河道管理范围内特定活动审批（设区的市级权限）（00011910400301）</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（2）《水行政许可实施办法》（水利部令第23号发布）第44条、第44条、第45条、第46条、第50条、第55条、第56条、第57条、第58条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河道管理范围内有关活动（不含河道采砂）审批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二、</w:t>
      </w:r>
      <w:r>
        <w:rPr>
          <w:rFonts w:hint="default" w:ascii="Times New Roman" w:hAnsi="Times New Roman" w:eastAsia="黑体" w:cs="Times New Roman"/>
          <w:b w:val="0"/>
          <w:bCs w:val="0"/>
          <w:strike w:val="0"/>
          <w:dstrike w:val="0"/>
          <w:color w:val="auto"/>
          <w:sz w:val="32"/>
          <w:szCs w:val="32"/>
          <w:lang w:val="en-US" w:eastAsia="zh-CN"/>
        </w:rPr>
        <w:t>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三、</w:t>
      </w:r>
      <w:r>
        <w:rPr>
          <w:rFonts w:hint="default" w:ascii="Times New Roman" w:hAnsi="Times New Roman" w:eastAsia="黑体" w:cs="Times New Roman"/>
          <w:b w:val="0"/>
          <w:bCs w:val="0"/>
          <w:strike w:val="0"/>
          <w:dstrike w:val="0"/>
          <w:color w:val="auto"/>
          <w:sz w:val="32"/>
          <w:szCs w:val="32"/>
          <w:lang w:val="en-US" w:eastAsia="zh-CN"/>
        </w:rPr>
        <w:t>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在河道管理范围内开展特定活动的单位和个人。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所申请的河道管理范围内特定活动审批权限属于相关市级水行政主管部门管理权限范围。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①不符合水法律法规、生态敏感区相关法律法规以及生态红线管控要求；②不符合流域综合规划及防洪规划、河流治理规划、岸线利用管理规划等规划要求，对规划实施有不利影响；③不符合防洪（排涝）标准；④对河流岸线、河势稳定、水流形态、冲淤变化、河水水质等有不利影响；⑤妨碍河道行洪，降低河道泄洪能力的；⑥对堤防、护岸和其他水利工程和设施等有不利影响；⑦对防汛抢险和水利管理等有不利影响；⑧项目防御洪涝的设防标准与措施不当；⑨对利益第三方有不利影响，或与利益第三方未达成协议的。</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（1）《中华人民共和国河道管理条例》第25条在河道管理范围内进行下列活动，必须报经河道主管机关批准；涉及其他部门的，由河道主管机关会同有关部门批准：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（一）采砂、取土、淘金、弃置砂石或者淤泥；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（二）爆破、钻探、挖筑鱼塘；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（三）在河道滩地存放物料、修建厂房或者其他建筑设施；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（四）在河道滩地开采地下资源及进行考古发掘。</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1.明确河湖水域岸线空间管控边界；2.严格岸线分区分类管控；3.严格管控各类水域岸线利用行为；4.依法规范河湖管理范围内耕地利用；5.推进河湖水域岸线整治修复；6.规范沿河沿湖绿色生态廊道建设。</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在国家审批时限压减至18个工作日的基础上，进一步将承诺审批时限压减至5个工作日。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活动许可、实施阶段的监督检查。2.建立河湖日常监管巡查制度，结合水利工程巡查管护、防汛检查等工作，开展涉河活动巡查检查。3.利用大数据、卫星遥感、航空遥感、视频监控等技术手段进行动态监控。4.畅通公众举报渠道，严肃查处违法违规涉河活动。5.明确监管责任主体。相关流域管理机构、地方各级水行政主管部门要按照“谁审批、谁监管”要求，明确涉河活动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五、</w:t>
      </w:r>
      <w:r>
        <w:rPr>
          <w:rFonts w:hint="default" w:ascii="Times New Roman" w:hAnsi="Times New Roman" w:eastAsia="黑体" w:cs="Times New Roman"/>
          <w:b w:val="0"/>
          <w:bCs w:val="0"/>
          <w:strike w:val="0"/>
          <w:dstrike w:val="0"/>
          <w:color w:val="auto"/>
          <w:sz w:val="32"/>
          <w:szCs w:val="32"/>
          <w:lang w:val="en-US" w:eastAsia="zh-CN"/>
        </w:rPr>
        <w:t>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河道管理范围内特定活动审批申请书；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开展河道管理范围内特定活动所依据的文件；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河道管理范围内特定活动实施方案；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现场清理复原承诺文件；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与有利害关系的第三方达成的协议或该第三方的承诺函。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 7号）第5条建设单位编制立项文件时必须按照河道管理权限， 向河道主管机关提出申请。 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对于重要的建设项目，建设单位还应编制更详尽的防洪评价报告。在河道管理范围内修建未列入国家基建计划的各种建筑物，应在申办建设许可证前向河道主管机关提出申请。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六、</w:t>
      </w:r>
      <w:r>
        <w:rPr>
          <w:rFonts w:hint="default" w:ascii="Times New Roman" w:hAnsi="Times New Roman" w:eastAsia="黑体" w:cs="Times New Roman"/>
          <w:b w:val="0"/>
          <w:bCs w:val="0"/>
          <w:strike w:val="0"/>
          <w:dstrike w:val="0"/>
          <w:color w:val="auto"/>
          <w:sz w:val="32"/>
          <w:szCs w:val="32"/>
          <w:lang w:val="en-US" w:eastAsia="zh-CN"/>
        </w:rPr>
        <w:t>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七、</w:t>
      </w:r>
      <w:r>
        <w:rPr>
          <w:rFonts w:hint="default" w:ascii="Times New Roman" w:hAnsi="Times New Roman" w:eastAsia="黑体" w:cs="Times New Roman"/>
          <w:b w:val="0"/>
          <w:bCs w:val="0"/>
          <w:strike w:val="0"/>
          <w:dstrike w:val="0"/>
          <w:color w:val="auto"/>
          <w:sz w:val="32"/>
          <w:szCs w:val="32"/>
          <w:lang w:val="en-US" w:eastAsia="zh-CN"/>
        </w:rPr>
        <w:t>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八、</w:t>
      </w:r>
      <w:r>
        <w:rPr>
          <w:rFonts w:hint="default" w:ascii="Times New Roman" w:hAnsi="Times New Roman" w:eastAsia="黑体" w:cs="Times New Roman"/>
          <w:b w:val="0"/>
          <w:bCs w:val="0"/>
          <w:strike w:val="0"/>
          <w:dstrike w:val="0"/>
          <w:color w:val="auto"/>
          <w:sz w:val="32"/>
          <w:szCs w:val="32"/>
          <w:lang w:val="en-US" w:eastAsia="zh-CN"/>
        </w:rPr>
        <w:t>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九、</w:t>
      </w:r>
      <w:r>
        <w:rPr>
          <w:rFonts w:hint="default" w:ascii="Times New Roman" w:hAnsi="Times New Roman" w:eastAsia="黑体" w:cs="Times New Roman"/>
          <w:b w:val="0"/>
          <w:bCs w:val="0"/>
          <w:strike w:val="0"/>
          <w:dstrike w:val="0"/>
          <w:color w:val="auto"/>
          <w:sz w:val="32"/>
          <w:szCs w:val="32"/>
          <w:lang w:val="en-US" w:eastAsia="zh-CN"/>
        </w:rPr>
        <w:t>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w:t>
      </w:r>
      <w:r>
        <w:rPr>
          <w:rFonts w:hint="default" w:ascii="Times New Roman" w:hAnsi="Times New Roman" w:eastAsia="黑体" w:cs="Times New Roman"/>
          <w:b w:val="0"/>
          <w:bCs w:val="0"/>
          <w:strike w:val="0"/>
          <w:dstrike w:val="0"/>
          <w:color w:val="auto"/>
          <w:sz w:val="32"/>
          <w:szCs w:val="32"/>
          <w:lang w:val="en-US" w:eastAsia="zh-CN"/>
        </w:rPr>
        <w:t>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十一、</w:t>
      </w:r>
      <w:r>
        <w:rPr>
          <w:rFonts w:hint="default" w:ascii="Times New Roman" w:hAnsi="Times New Roman" w:eastAsia="黑体" w:cs="Times New Roman"/>
          <w:b w:val="0"/>
          <w:bCs w:val="0"/>
          <w:strike w:val="0"/>
          <w:dstrike w:val="0"/>
          <w:color w:val="auto"/>
          <w:sz w:val="32"/>
          <w:szCs w:val="32"/>
          <w:lang w:val="en-US" w:eastAsia="zh-CN"/>
        </w:rPr>
        <w:t>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十二、</w:t>
      </w:r>
      <w:r>
        <w:rPr>
          <w:rFonts w:hint="default" w:ascii="Times New Roman" w:hAnsi="Times New Roman" w:eastAsia="黑体" w:cs="Times New Roman"/>
          <w:b w:val="0"/>
          <w:bCs w:val="0"/>
          <w:strike w:val="0"/>
          <w:dstrike w:val="0"/>
          <w:color w:val="auto"/>
          <w:sz w:val="32"/>
          <w:szCs w:val="32"/>
          <w:lang w:val="en-US" w:eastAsia="zh-CN"/>
        </w:rPr>
        <w:t>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十三、</w:t>
      </w:r>
      <w:r>
        <w:rPr>
          <w:rFonts w:hint="default" w:ascii="Times New Roman" w:hAnsi="Times New Roman" w:eastAsia="黑体" w:cs="Times New Roman"/>
          <w:b w:val="0"/>
          <w:bCs w:val="0"/>
          <w:strike w:val="0"/>
          <w:dstrike w:val="0"/>
          <w:color w:val="auto"/>
          <w:sz w:val="32"/>
          <w:szCs w:val="32"/>
          <w:lang w:val="en-US" w:eastAsia="zh-CN"/>
        </w:rPr>
        <w:t>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十四、</w:t>
      </w:r>
      <w:r>
        <w:rPr>
          <w:rFonts w:hint="default" w:ascii="Times New Roman" w:hAnsi="Times New Roman" w:eastAsia="黑体" w:cs="Times New Roman"/>
          <w:b w:val="0"/>
          <w:bCs w:val="0"/>
          <w:strike w:val="0"/>
          <w:dstrike w:val="0"/>
          <w:color w:val="auto"/>
          <w:sz w:val="32"/>
          <w:szCs w:val="32"/>
          <w:highlight w:val="none"/>
          <w:lang w:val="en-US" w:eastAsia="zh-CN"/>
        </w:rPr>
        <w:t>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河道管理范围内特定活动审批（县级权限）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【000119104004】</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河道管理范围内特定活动审批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00011910400Y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河道管理范围内特定活动审批（县级权限）【000119104004】</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1.河道管理范围内特定活动审批（县级权限）（00011910400401）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（2）《水行政许可实施办法》（水利部令第23号发布）第44条、第44条、第45条、第46条、第50条、第55条、第56条、第57条、第58条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河道管理范围内有关活动（不含河道采砂）审批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在河道管理范围内开展特定活动的单位和个人。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所申请的河道管理范围内特定活动审批权限属于相关县级水行政主管部门管理权限范围。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①不符合水法律法规、生态敏感区相关法律法规以及生态红线管控要求；②不符合流域综合规划及防洪规划、河流治理规划、岸线利用管理规划等规划要求，对规划实施有不利影响；③不符合防洪（排涝）标准；④对河流岸线、河势稳定、水流形态、冲淤变化、河水水质等有不利影响；⑤妨碍河道行洪，降低河道泄洪能力的；⑥对堤防、护岸和其他水利工程和设施等有不利影响；⑦对防汛抢险和水利管理等有不利影响；⑧项目防御洪涝的设防标准与措施不当；⑨对利益第三方有不利影响，或与利益第三方未达成协议的。</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（1）《中华人民共和国河道管理条例》第25条在河道管理范围内进行下列活动，必须报经河道主管机关批准；涉及其他部门的，由河道主管机关会同有关部门批准：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（一）采砂、取土、淘金、弃置砂石或者淤泥；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（二）爆破、钻探、挖筑鱼塘；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（三）在河道滩地存放物料、修建厂房或者其他建筑设施；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（四）在河道滩地开采地下资源及进行考古发掘。</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1.明确河湖水域岸线空间管控边界；2.严格岸线分区分类管控；3.严格管控各类水域岸线利用行为；4.依法规范河湖管理范围内耕地利用；5.推进河湖水域岸线整治修复；6.规范沿河沿湖绿色生态廊道建设。</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在国家审批时限压减至18个工作日的基础上，进一步将承诺审批时限压减至5个工作日。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活动许可、实施阶段的监督检查。2.建立河湖日常监管巡查制度，结合水利工程巡查管护、防汛检查等工作，开展涉河活动巡查检查。3.利用大数据、卫星遥感、航空遥感、视频监控等技术手段进行动态监控。4.畅通公众举报渠道，严肃查处违法违规涉河活动。5.明确监管责任主体。相关流域管理机构、地方各级水行政主管部门要按照“谁审批、谁监管”要求，明确涉河活动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河道管理范围内特定活动审批申请书；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开展河道管理范围内特定活动所依据的文件；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河道管理范围内特定活动实施方案；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现场清理复原承诺文件；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与有利害关系的第三方达成的协议或该第三方的承诺函。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 7号）第5条建设单位编制立项文件时必须按照河道管理权限， 向河道主管机关提出申请。 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对于重要的建设项目，建设单位还应编制更详尽的防洪评价报告。在河道管理范围内修建未列入国家基建计划的各种建筑物，应在申办建设许可证前向河道主管机关提出申请。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河道管理范围内特定活动审批（县级权限）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【00011910400401】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河道管理范围内特定活动审批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00011910400Y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河道管理范围内特定活动审批（县级权限）【000119104004】</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河道管理范围内特定活动审批（县级权限）（00011910400401）</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（2）《水行政许可实施办法》（水利部令第23号发布）第44条、第44条、第45条、第46条、第50条、第55条、第56条、第57条、第58条</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河道管理范围内有关活动（不含河道采砂）审批</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在河道管理范围内开展特定活动的单位和个人。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所申请的河道管理范围内特定活动审批权限属于相关县级水行政主管部门管理权限范围。</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①不符合水法律法规、生态敏感区相关法律法规以及生态红线管控要求；②不符合流域综合规划及防洪规划、河流治理规划、岸线利用管理规划等规划要求，对规划实施有不利影响；③不符合防洪（排涝）标准；④对河流岸线、河势稳定、水流形态、冲淤变化、河水水质等有不利影响；⑤妨碍河道行洪，降低河道泄洪能力的；⑥对堤防、护岸和其他水利工程和设施等有不利影响；⑦对防汛抢险和水利管理等有不利影响；⑧项目防御洪涝的设防标准与措施不当；⑨对利益第三方有不利影响，或与利益第三方未达成协议的。</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（1）《中华人民共和国河道管理条例》第25条在河道管理范围内进行下列活动，必须报经河道主管机关批准；涉及其他部门的，由河道主管机关会同有关部门批准：</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（一）采砂、取土、淘金、弃置砂石或者淤泥；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（二）爆破、钻探、挖筑鱼塘；</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（三）在河道滩地存放物料、修建厂房或者其他建筑设施；</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（四）在河道滩地开采地下资源及进行考古发掘。</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1.明确河湖水域岸线空间管控边界；2.严格岸线分区分类管控；3.严格管控各类水域岸线利用行为；4.依法规范河湖管理范围内耕地利用；5.推进河湖水域岸线整治修复；6.规范沿河沿湖绿色生态廊道建设。</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在国家审批时限压减至14个工作日的基础上，进一步将承诺审批时限压减至1个工作日。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活动许可、实施阶段的监督检查。2.建立河湖日常监管巡查制度，结合水利工程巡查管护、防汛检查等工作，开展涉河活动巡查检查。3.利用大数据、卫星遥感、航空遥感、视频监控等技术手段进行动态监控。4.畅通公众举报渠道，严肃查处违法违规涉河活动。5.明确监管责任主体。相关流域管理机构、地方各级水行政主管部门要按照“谁审批、谁监管”要求，明确涉河活动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河道管理范围内特定活动审批申请书；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开展河道管理范围内特定活动所依据的文件；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河道管理范围内特定活动实施方案；</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现场清理复原承诺文件；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与有利害关系的第三方达成的协议或该第三方的承诺函。</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 7号）第5条建设单位编制立项文件时必须按照河道管理权限， 向河道主管机关提出申请。 申请时应提供以下文件：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对于重要的建设项目，建设单位还应编制更详尽的防洪评价报告。在河道管理范围内修建未列入国家基建计划的各种建筑物，应在申办建设许可证前向河道主管机关提出申请。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（2）《水行政许可实施办法》（水利部令第23号发布）第37条、第40条第37条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color w:val="auto"/>
        </w:rPr>
      </w:pPr>
    </w:p>
    <w:sectPr>
      <w:footerReference r:id="rId3" w:type="default"/>
      <w:pgSz w:w="11906" w:h="16838"/>
      <w:pgMar w:top="1984"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jYxNTkzMGJmOGNmMGQ0ZmQ3MDdjYzBkOGE5MzkifQ=="/>
  </w:docVars>
  <w:rsids>
    <w:rsidRoot w:val="176D69AF"/>
    <w:rsid w:val="020E364B"/>
    <w:rsid w:val="054D142B"/>
    <w:rsid w:val="074672DA"/>
    <w:rsid w:val="09DE7DED"/>
    <w:rsid w:val="176D69AF"/>
    <w:rsid w:val="19BB3DC9"/>
    <w:rsid w:val="20554E66"/>
    <w:rsid w:val="271C4A6F"/>
    <w:rsid w:val="40D7331C"/>
    <w:rsid w:val="4904108C"/>
    <w:rsid w:val="542A26A3"/>
    <w:rsid w:val="56334671"/>
    <w:rsid w:val="594E7882"/>
    <w:rsid w:val="65093D0E"/>
    <w:rsid w:val="7B05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next w:val="1"/>
    <w:unhideWhenUsed/>
    <w:qFormat/>
    <w:uiPriority w:val="99"/>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2024-01-11T10:18:00Z</dcterms:created>
  <dc:creator>Administrator</dc:creator>
  <cp:lastModifiedBy>素颜</cp:lastModifiedBy>
  <dcterms:modified xsi:type="dcterms:W3CDTF">2024-01-12T02:54:59Z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2BDDAC9D776142DB86E01E35BD054826_13</vt:lpwstr>
  </property>
</Properties>
</file>