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44"/>
          <w:szCs w:val="44"/>
        </w:rPr>
        <w:t>临沧市生态环境局关于</w:t>
      </w:r>
      <w:r>
        <w:rPr>
          <w:rFonts w:hint="eastAsia" w:ascii="方正小标宋_GBK" w:hAnsi="方正小标宋_GBK" w:eastAsia="方正小标宋_GBK" w:cs="方正小标宋_GBK"/>
          <w:b/>
          <w:bCs/>
          <w:color w:val="auto"/>
          <w:sz w:val="44"/>
          <w:szCs w:val="44"/>
          <w:lang w:eastAsia="zh-CN"/>
        </w:rPr>
        <w:t>临沧市郅鑫进出口</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44"/>
          <w:szCs w:val="44"/>
          <w:lang w:eastAsia="zh-CN"/>
        </w:rPr>
        <w:t>有限责任公司橡胶生产建设项目一期</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环境影响</w:t>
      </w:r>
      <w:r>
        <w:rPr>
          <w:rFonts w:hint="eastAsia" w:ascii="方正小标宋_GBK" w:hAnsi="方正小标宋_GBK" w:eastAsia="方正小标宋_GBK" w:cs="方正小标宋_GBK"/>
          <w:b/>
          <w:bCs/>
          <w:color w:val="auto"/>
          <w:sz w:val="44"/>
          <w:szCs w:val="44"/>
          <w:lang w:eastAsia="zh-CN"/>
        </w:rPr>
        <w:t>报告表</w:t>
      </w:r>
      <w:r>
        <w:rPr>
          <w:rFonts w:hint="eastAsia" w:ascii="方正小标宋_GBK" w:hAnsi="方正小标宋_GBK" w:eastAsia="方正小标宋_GBK" w:cs="方正小标宋_GBK"/>
          <w:b/>
          <w:bCs/>
          <w:color w:val="auto"/>
          <w:sz w:val="44"/>
          <w:szCs w:val="44"/>
        </w:rPr>
        <w:t>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zh-CN" w:eastAsia="zh-CN"/>
        </w:rPr>
        <w:t>临沧市郅鑫进出口有限责任公司</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你公司申请报批的《临沧市郅鑫进出口有限责任公司橡胶生产建设项目一期环境影响报告表》（以下简称《报告表》）收悉。</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lang w:eastAsia="zh-CN"/>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项目位于</w:t>
      </w:r>
      <w:r>
        <w:rPr>
          <w:rFonts w:hint="eastAsia" w:ascii="仿宋" w:hAnsi="仿宋" w:eastAsia="仿宋" w:cs="仿宋"/>
          <w:color w:val="auto"/>
          <w:kern w:val="0"/>
          <w:sz w:val="32"/>
          <w:szCs w:val="32"/>
          <w:lang w:val="en-US" w:eastAsia="zh-CN"/>
        </w:rPr>
        <w:t>云南省临沧市耿马县孟定镇河西村委会允坎组。地理坐标：东经：99°5′11.765″，北纬：23°36′19.045″。占地面积为3735.64m</w:t>
      </w:r>
      <w:r>
        <w:rPr>
          <w:rFonts w:hint="eastAsia" w:ascii="仿宋" w:hAnsi="仿宋" w:eastAsia="仿宋" w:cs="仿宋"/>
          <w:color w:val="auto"/>
          <w:kern w:val="0"/>
          <w:sz w:val="32"/>
          <w:szCs w:val="32"/>
          <w:vertAlign w:val="superscript"/>
          <w:lang w:val="en-US" w:eastAsia="zh-CN"/>
        </w:rPr>
        <w:t>2</w:t>
      </w:r>
      <w:r>
        <w:rPr>
          <w:rFonts w:hint="eastAsia" w:ascii="仿宋" w:hAnsi="仿宋" w:eastAsia="仿宋" w:cs="仿宋"/>
          <w:color w:val="auto"/>
          <w:kern w:val="0"/>
          <w:sz w:val="32"/>
          <w:szCs w:val="32"/>
          <w:lang w:val="en-US" w:eastAsia="zh-CN"/>
        </w:rPr>
        <w:t>，占地类型为工业用地。主要建设内容包括</w:t>
      </w:r>
      <w:r>
        <w:rPr>
          <w:rFonts w:hint="eastAsia" w:ascii="仿宋" w:hAnsi="仿宋" w:eastAsia="仿宋" w:cs="仿宋"/>
          <w:color w:val="auto"/>
          <w:kern w:val="0"/>
          <w:sz w:val="32"/>
          <w:szCs w:val="32"/>
          <w:lang w:eastAsia="zh-CN"/>
        </w:rPr>
        <w:t>烟胶生产</w:t>
      </w:r>
      <w:r>
        <w:rPr>
          <w:rFonts w:hint="eastAsia" w:ascii="仿宋" w:hAnsi="仿宋" w:eastAsia="仿宋" w:cs="仿宋"/>
          <w:color w:val="auto"/>
          <w:kern w:val="0"/>
          <w:sz w:val="32"/>
          <w:szCs w:val="32"/>
        </w:rPr>
        <w:t>车间</w:t>
      </w:r>
      <w:r>
        <w:rPr>
          <w:rFonts w:hint="eastAsia" w:ascii="仿宋" w:hAnsi="仿宋" w:eastAsia="仿宋" w:cs="仿宋"/>
          <w:color w:val="auto"/>
          <w:kern w:val="0"/>
          <w:sz w:val="32"/>
          <w:szCs w:val="32"/>
          <w:lang w:val="en-US" w:eastAsia="zh-CN"/>
        </w:rPr>
        <w:t>、复合胶</w:t>
      </w:r>
      <w:r>
        <w:rPr>
          <w:rFonts w:hint="eastAsia" w:ascii="仿宋" w:hAnsi="仿宋" w:eastAsia="仿宋" w:cs="仿宋"/>
          <w:color w:val="auto"/>
          <w:kern w:val="0"/>
          <w:sz w:val="32"/>
          <w:szCs w:val="32"/>
          <w:lang w:eastAsia="zh-CN"/>
        </w:rPr>
        <w:t>生产车间及其他</w:t>
      </w:r>
      <w:r>
        <w:rPr>
          <w:rFonts w:hint="eastAsia" w:ascii="仿宋" w:hAnsi="仿宋" w:eastAsia="仿宋" w:cs="仿宋"/>
          <w:color w:val="auto"/>
          <w:kern w:val="0"/>
          <w:sz w:val="32"/>
          <w:szCs w:val="32"/>
          <w:lang w:val="en-US" w:eastAsia="zh-CN"/>
        </w:rPr>
        <w:t>配套设施等，共</w:t>
      </w:r>
      <w:r>
        <w:rPr>
          <w:rFonts w:hint="eastAsia" w:ascii="仿宋" w:hAnsi="仿宋" w:eastAsia="仿宋" w:cs="仿宋"/>
          <w:color w:val="auto"/>
          <w:kern w:val="0"/>
          <w:sz w:val="32"/>
          <w:szCs w:val="32"/>
          <w:lang w:eastAsia="zh-CN"/>
        </w:rPr>
        <w:t>建设</w:t>
      </w:r>
      <w:r>
        <w:rPr>
          <w:rFonts w:hint="eastAsia" w:ascii="仿宋" w:hAnsi="仿宋" w:eastAsia="仿宋" w:cs="仿宋"/>
          <w:color w:val="auto"/>
          <w:kern w:val="0"/>
          <w:sz w:val="32"/>
          <w:szCs w:val="32"/>
          <w:lang w:val="en-US" w:eastAsia="zh-CN"/>
        </w:rPr>
        <w:t>2条生产线，其中烟胶生产线生产规模为500t/a；复合胶生产线设计规模为5000t/a，目前已建成。项目总投资为5000万元，其中环保投资111.3万元，占项目总投资的2.226%。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市生态环境局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w:t>
      </w:r>
      <w:r>
        <w:rPr>
          <w:rFonts w:hint="eastAsia" w:ascii="仿宋_GB2312" w:hAnsi="仿宋_GB2312" w:eastAsia="仿宋_GB2312" w:cs="仿宋_GB2312"/>
          <w:color w:val="auto"/>
          <w:sz w:val="32"/>
          <w:szCs w:val="32"/>
          <w:highlight w:val="none"/>
          <w:lang w:val="en-US" w:eastAsia="zh-CN"/>
        </w:rPr>
        <w:t>工艺、地点或者防治污染、防止生态破坏的措施发生重大变动的，建设公司应当重新报批环境影响评价文件，否则不得实施建设。自环评批复</w:t>
      </w:r>
      <w:r>
        <w:rPr>
          <w:rFonts w:hint="eastAsia" w:ascii="仿宋_GB2312" w:hAnsi="仿宋_GB2312" w:eastAsia="仿宋_GB2312" w:cs="仿宋_GB2312"/>
          <w:color w:val="auto"/>
          <w:sz w:val="32"/>
          <w:szCs w:val="32"/>
          <w:lang w:val="en-US" w:eastAsia="zh-CN"/>
        </w:rPr>
        <w:t>文件批准之日起，如工程超过5年未开工建设，环境影响评价文件应当报临沧市生态环境局重新审核。</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项目竣工后，请你公司严格按照《建设项目竣工环境保护验收暂行办法》有关规定，组织对配套建设的环境保护设施进行验收，并将相关信息向社会公开，同时将上述信息报送市生态环境局耿马分局。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w:t>
      </w:r>
      <w:bookmarkStart w:id="0" w:name="_GoBack"/>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val="en-US" w:eastAsia="zh-CN"/>
        </w:rPr>
        <w:t>公司</w:t>
      </w:r>
      <w:r>
        <w:rPr>
          <w:rFonts w:hint="eastAsia" w:ascii="仿宋_GB2312" w:hAnsi="仿宋_GB2312" w:eastAsia="仿宋_GB2312" w:cs="仿宋_GB2312"/>
          <w:color w:val="auto"/>
          <w:spacing w:val="0"/>
          <w:sz w:val="32"/>
          <w:szCs w:val="32"/>
          <w:highlight w:val="none"/>
          <w:lang w:val="en-US" w:eastAsia="zh-CN"/>
        </w:rPr>
        <w:t>在</w:t>
      </w:r>
      <w:r>
        <w:rPr>
          <w:rFonts w:hint="default" w:ascii="仿宋_GB2312" w:hAnsi="仿宋_GB2312" w:eastAsia="仿宋_GB2312" w:cs="仿宋_GB2312"/>
          <w:kern w:val="0"/>
          <w:sz w:val="32"/>
          <w:szCs w:val="32"/>
          <w:highlight w:val="none"/>
          <w:lang w:val="en-US" w:eastAsia="zh-CN" w:bidi="ar-SA"/>
        </w:rPr>
        <w:t>启动</w:t>
      </w:r>
      <w:bookmarkEnd w:id="0"/>
      <w:r>
        <w:rPr>
          <w:rFonts w:hint="default" w:ascii="仿宋_GB2312" w:hAnsi="仿宋_GB2312" w:eastAsia="仿宋_GB2312" w:cs="仿宋_GB2312"/>
          <w:kern w:val="0"/>
          <w:sz w:val="32"/>
          <w:szCs w:val="32"/>
          <w:lang w:val="en-US" w:eastAsia="zh-CN" w:bidi="ar-SA"/>
        </w:rPr>
        <w:t>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val="en-US" w:eastAsia="zh-CN"/>
        </w:rPr>
        <w:t>耿马分局</w:t>
      </w:r>
      <w:r>
        <w:rPr>
          <w:rFonts w:hint="eastAsia" w:ascii="仿宋_GB2312" w:hAnsi="仿宋_GB2312" w:eastAsia="仿宋_GB2312" w:cs="仿宋_GB2312"/>
          <w:color w:val="auto"/>
          <w:sz w:val="32"/>
          <w:szCs w:val="32"/>
        </w:rPr>
        <w:t>要切实履行属地监管职责，按照相关法律法规及《关于进一步完善建设项目环境保护“三同时”及竣工环境保护自主验收监管工作机制的意见》（环执法〔2021〕70号）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w:t>
      </w: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kern w:val="2"/>
          <w:sz w:val="24"/>
          <w:szCs w:val="24"/>
          <w:lang w:val="en-US" w:eastAsia="zh-CN" w:bidi="ar-SA"/>
        </w:rPr>
      </w:pPr>
    </w:p>
    <w:p>
      <w:pPr>
        <w:pStyle w:val="2"/>
        <w:ind w:left="0" w:leftChars="0" w:firstLine="0" w:firstLineChars="0"/>
        <w:rPr>
          <w:rFonts w:hint="eastAsia" w:ascii="仿宋_GB2312" w:hAnsi="仿宋_GB2312" w:eastAsia="仿宋_GB2312" w:cs="仿宋_GB2312"/>
          <w:color w:val="auto"/>
          <w:kern w:val="2"/>
          <w:sz w:val="24"/>
          <w:szCs w:val="24"/>
          <w:lang w:val="en-US" w:eastAsia="zh-CN" w:bidi="ar-SA"/>
        </w:rPr>
      </w:pPr>
    </w:p>
    <w:tbl>
      <w:tblPr>
        <w:tblStyle w:val="8"/>
        <w:tblpPr w:leftFromText="180" w:rightFromText="180" w:vertAnchor="text" w:horzAnchor="page" w:tblpX="1429" w:tblpY="497"/>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spacing w:line="560" w:lineRule="exact"/>
              <w:ind w:left="1118" w:leftChars="116" w:hanging="840" w:hangingChars="300"/>
              <w:rPr>
                <w:rFonts w:hint="eastAsia" w:ascii="仿宋_GB2312" w:hAnsi="仿宋_GB2312" w:eastAsia="仿宋_GB2312" w:cs="仿宋_GB2312"/>
                <w:color w:val="auto"/>
                <w:kern w:val="2"/>
                <w:sz w:val="21"/>
                <w:lang w:val="en-US" w:eastAsia="zh-CN"/>
              </w:rPr>
            </w:pPr>
            <w:r>
              <w:rPr>
                <w:rFonts w:hint="eastAsia" w:ascii="仿宋_GB2312" w:hAnsi="仿宋_GB2312" w:eastAsia="仿宋_GB2312" w:cs="仿宋_GB2312"/>
                <w:color w:val="auto"/>
                <w:kern w:val="0"/>
                <w:sz w:val="28"/>
                <w:szCs w:val="28"/>
              </w:rPr>
              <w:t>抄送：</w:t>
            </w:r>
            <w:r>
              <w:rPr>
                <w:rFonts w:hint="eastAsia" w:ascii="仿宋_GB2312" w:hAnsi="仿宋_GB2312" w:eastAsia="仿宋_GB2312" w:cs="仿宋_GB2312"/>
                <w:color w:val="auto"/>
                <w:kern w:val="0"/>
                <w:sz w:val="28"/>
                <w:szCs w:val="28"/>
                <w:lang w:eastAsia="zh-CN"/>
              </w:rPr>
              <w:t>市农业农村局，</w:t>
            </w:r>
            <w:r>
              <w:rPr>
                <w:rFonts w:hint="eastAsia" w:ascii="仿宋_GB2312" w:hAnsi="仿宋_GB2312" w:eastAsia="仿宋_GB2312" w:cs="仿宋_GB2312"/>
                <w:color w:val="auto"/>
                <w:kern w:val="0"/>
                <w:sz w:val="28"/>
                <w:szCs w:val="28"/>
              </w:rPr>
              <w:t>市生态环境局</w:t>
            </w:r>
            <w:r>
              <w:rPr>
                <w:rFonts w:hint="eastAsia" w:ascii="仿宋_GB2312" w:hAnsi="仿宋_GB2312" w:eastAsia="仿宋_GB2312" w:cs="仿宋_GB2312"/>
                <w:color w:val="auto"/>
                <w:kern w:val="0"/>
                <w:sz w:val="28"/>
                <w:szCs w:val="28"/>
                <w:lang w:val="en-US" w:eastAsia="zh-CN"/>
              </w:rPr>
              <w:t>各科、室、支队、中心、站、</w:t>
            </w:r>
            <w:r>
              <w:rPr>
                <w:rFonts w:hint="eastAsia" w:ascii="仿宋_GB2312" w:hAnsi="仿宋_GB2312" w:eastAsia="仿宋_GB2312" w:cs="仿宋_GB2312"/>
                <w:color w:val="auto"/>
                <w:kern w:val="0"/>
                <w:sz w:val="28"/>
                <w:szCs w:val="28"/>
                <w:lang w:eastAsia="zh-CN"/>
              </w:rPr>
              <w:t>耿马分局</w:t>
            </w:r>
            <w:r>
              <w:rPr>
                <w:rFonts w:hint="eastAsia" w:ascii="仿宋_GB2312" w:hAnsi="仿宋_GB2312" w:eastAsia="仿宋_GB2312" w:cs="仿宋_GB2312"/>
                <w:color w:val="auto"/>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left="0" w:leftChars="0" w:firstLine="280" w:firstLineChars="100"/>
              <w:rPr>
                <w:rFonts w:hint="eastAsia" w:ascii="仿宋_GB2312" w:hAnsi="仿宋_GB2312" w:eastAsia="仿宋_GB2312" w:cs="仿宋_GB2312"/>
                <w:color w:val="auto"/>
                <w:kern w:val="2"/>
                <w:sz w:val="21"/>
              </w:rPr>
            </w:pPr>
            <w:r>
              <w:rPr>
                <w:rFonts w:hint="eastAsia" w:ascii="仿宋_GB2312" w:hAnsi="仿宋_GB2312" w:eastAsia="仿宋_GB2312" w:cs="仿宋_GB2312"/>
                <w:color w:val="auto"/>
                <w:kern w:val="0"/>
                <w:sz w:val="28"/>
                <w:szCs w:val="28"/>
              </w:rPr>
              <w:t xml:space="preserve">临沧市生态环境局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202</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12</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日印发</w:t>
            </w:r>
          </w:p>
        </w:tc>
      </w:tr>
    </w:tbl>
    <w:p>
      <w:pPr>
        <w:rPr>
          <w:color w:val="auto"/>
        </w:rPr>
      </w:pPr>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61FF7B53"/>
    <w:rsid w:val="0D5B0F8B"/>
    <w:rsid w:val="0EB308D3"/>
    <w:rsid w:val="166A4748"/>
    <w:rsid w:val="17064984"/>
    <w:rsid w:val="176820AB"/>
    <w:rsid w:val="26A4505A"/>
    <w:rsid w:val="271A0C1D"/>
    <w:rsid w:val="2B7E174D"/>
    <w:rsid w:val="36772678"/>
    <w:rsid w:val="4A863865"/>
    <w:rsid w:val="501F4F53"/>
    <w:rsid w:val="50A8500D"/>
    <w:rsid w:val="51DA7401"/>
    <w:rsid w:val="577B30F6"/>
    <w:rsid w:val="5A9D1A52"/>
    <w:rsid w:val="61FF7B53"/>
    <w:rsid w:val="63E6250C"/>
    <w:rsid w:val="63F0437D"/>
    <w:rsid w:val="65636BE4"/>
    <w:rsid w:val="74E6089D"/>
    <w:rsid w:val="79465A41"/>
    <w:rsid w:val="7A5201A3"/>
    <w:rsid w:val="7D97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Normal Indent"/>
    <w:basedOn w:val="1"/>
    <w:autoRedefine/>
    <w:qFormat/>
    <w:uiPriority w:val="0"/>
    <w:pPr>
      <w:ind w:firstLine="420" w:firstLineChars="200"/>
    </w:pPr>
  </w:style>
  <w:style w:type="paragraph" w:styleId="4">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2023-08-17T07:50:00Z</dcterms:created>
  <dc:creator>スーパーサイヤ人の神</dc:creator>
  <cp:lastModifiedBy>子非鱼</cp:lastModifiedBy>
  <dcterms:modified xsi:type="dcterms:W3CDTF">2023-12-29T03:07:49Z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CB7339958DD4469DB439EDB9F0E7870E_13</vt:lpwstr>
  </property>
</Properties>
</file>