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distribute"/>
        <w:textAlignment w:val="auto"/>
        <w:rPr>
          <w:rFonts w:hint="eastAsia" w:ascii="仿宋_GB2312" w:hAnsi="仿宋_GB2312" w:eastAsia="仿宋_GB2312" w:cs="仿宋_GB2312"/>
          <w:b/>
          <w:bCs/>
          <w:color w:val="FF0000"/>
          <w:w w:val="90"/>
          <w:kern w:val="16"/>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distribute"/>
        <w:textAlignment w:val="auto"/>
        <w:rPr>
          <w:rFonts w:hint="eastAsia" w:ascii="仿宋_GB2312" w:hAnsi="仿宋_GB2312" w:eastAsia="仿宋_GB2312" w:cs="仿宋_GB2312"/>
          <w:b/>
          <w:bCs/>
          <w:color w:val="FF0000"/>
          <w:w w:val="90"/>
          <w:kern w:val="16"/>
          <w:sz w:val="32"/>
          <w:szCs w:val="32"/>
        </w:rPr>
      </w:pPr>
    </w:p>
    <w:p>
      <w:pPr>
        <w:keepNext w:val="0"/>
        <w:keepLines w:val="0"/>
        <w:pageBreakBefore w:val="0"/>
        <w:widowControl w:val="0"/>
        <w:kinsoku/>
        <w:wordWrap/>
        <w:overflowPunct/>
        <w:topLinePunct w:val="0"/>
        <w:autoSpaceDE/>
        <w:autoSpaceDN/>
        <w:bidi w:val="0"/>
        <w:adjustRightInd/>
        <w:snapToGrid/>
        <w:spacing w:line="576" w:lineRule="exact"/>
        <w:jc w:val="distribute"/>
        <w:textAlignment w:val="auto"/>
        <w:rPr>
          <w:rFonts w:hint="eastAsia" w:ascii="仿宋_GB2312" w:hAnsi="仿宋_GB2312" w:eastAsia="仿宋_GB2312" w:cs="仿宋_GB2312"/>
          <w:b/>
          <w:bCs/>
          <w:color w:val="FF0000"/>
          <w:w w:val="90"/>
          <w:kern w:val="16"/>
          <w:sz w:val="32"/>
          <w:szCs w:val="32"/>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firstLine="0" w:firstLineChars="0"/>
        <w:jc w:val="distribute"/>
        <w:textAlignment w:val="auto"/>
        <w:rPr>
          <w:rFonts w:hint="eastAsia" w:ascii="方正小标宋_GBK" w:hAnsi="方正小标宋_GBK" w:eastAsia="方正小标宋_GBK" w:cs="方正小标宋_GBK"/>
          <w:b/>
          <w:bCs/>
          <w:color w:val="FF0000"/>
          <w:sz w:val="32"/>
          <w:szCs w:val="32"/>
        </w:rPr>
      </w:pPr>
      <w:r>
        <w:rPr>
          <w:rFonts w:hint="eastAsia" w:ascii="方正小标宋_GBK" w:hAnsi="方正小标宋_GBK" w:eastAsia="方正小标宋_GBK" w:cs="方正小标宋_GBK"/>
          <w:b/>
          <w:bCs/>
          <w:color w:val="FF0000"/>
          <w:w w:val="90"/>
          <w:kern w:val="16"/>
          <w:sz w:val="84"/>
          <w:szCs w:val="84"/>
        </w:rPr>
        <w:t>临沧市生态环境局文件</w:t>
      </w:r>
    </w:p>
    <w:p>
      <w:pPr>
        <w:spacing w:line="0" w:lineRule="atLeast"/>
        <w:ind w:firstLine="1600" w:firstLineChars="800"/>
        <w:rPr>
          <w:rFonts w:hint="eastAsia" w:ascii="仿宋_GB2312" w:hAnsi="仿宋_GB2312" w:eastAsia="仿宋_GB2312" w:cs="仿宋_GB2312"/>
          <w:sz w:val="20"/>
          <w:szCs w:val="20"/>
        </w:rPr>
      </w:pPr>
    </w:p>
    <w:p>
      <w:pPr>
        <w:spacing w:line="0" w:lineRule="atLeast"/>
        <w:ind w:left="0" w:leftChars="0" w:firstLine="0" w:firstLineChars="0"/>
        <w:jc w:val="center"/>
        <w:rPr>
          <w:rFonts w:ascii="Times New Roman" w:hAnsi="Times New Roman" w:eastAsia="仿宋_GB2312"/>
          <w:sz w:val="32"/>
          <w:szCs w:val="32"/>
          <w:highlight w:val="yellow"/>
        </w:rPr>
      </w:pPr>
      <w:r>
        <w:rPr>
          <w:rFonts w:ascii="Times New Roman" w:hAnsi="Times New Roman" w:eastAsia="仿宋_GB2312"/>
          <w:sz w:val="32"/>
          <w:szCs w:val="32"/>
        </w:rPr>
        <w:t>临环审〔202</w:t>
      </w:r>
      <w:r>
        <w:rPr>
          <w:rFonts w:hint="eastAsia" w:ascii="Times New Roman" w:hAnsi="Times New Roman" w:eastAsia="仿宋_GB2312"/>
          <w:sz w:val="32"/>
          <w:szCs w:val="32"/>
          <w:lang w:val="en-US" w:eastAsia="zh-CN"/>
        </w:rPr>
        <w:t>3</w:t>
      </w:r>
      <w:r>
        <w:rPr>
          <w:rFonts w:ascii="Times New Roman" w:hAnsi="Times New Roman" w:eastAsia="仿宋_GB2312"/>
          <w:sz w:val="32"/>
          <w:szCs w:val="32"/>
        </w:rPr>
        <w:t>〕</w:t>
      </w:r>
      <w:r>
        <w:rPr>
          <w:rFonts w:hint="eastAsia" w:eastAsia="仿宋_GB2312"/>
          <w:sz w:val="32"/>
          <w:szCs w:val="32"/>
          <w:lang w:val="en-US" w:eastAsia="zh-CN"/>
        </w:rPr>
        <w:t>179</w:t>
      </w:r>
      <w:r>
        <w:rPr>
          <w:rFonts w:ascii="Times New Roman" w:hAnsi="Times New Roman" w:eastAsia="仿宋_GB2312"/>
          <w:sz w:val="32"/>
          <w:szCs w:val="32"/>
        </w:rPr>
        <w:t>号</w:t>
      </w:r>
    </w:p>
    <w:p>
      <w:pPr>
        <w:spacing w:line="0" w:lineRule="atLeast"/>
        <w:jc w:val="center"/>
        <w:rPr>
          <w:rFonts w:hint="eastAsia" w:ascii="仿宋_GB2312" w:hAnsi="仿宋_GB2312" w:eastAsia="仿宋_GB2312" w:cs="仿宋_GB2312"/>
          <w:sz w:val="32"/>
          <w:szCs w:val="32"/>
        </w:rPr>
      </w:pPr>
      <w:r>
        <w:rPr>
          <w:rFonts w:hint="eastAsia" w:ascii="仿宋_GB2312" w:hAnsi="仿宋_GB2312" w:eastAsia="仿宋_GB2312" w:cs="仿宋_GB2312"/>
        </w:rPr>
        <mc:AlternateContent>
          <mc:Choice Requires="wps">
            <w:drawing>
              <wp:anchor distT="0" distB="0" distL="114300" distR="114300" simplePos="0" relativeHeight="251660288" behindDoc="0" locked="0" layoutInCell="1" allowOverlap="1">
                <wp:simplePos x="0" y="0"/>
                <wp:positionH relativeFrom="column">
                  <wp:posOffset>19050</wp:posOffset>
                </wp:positionH>
                <wp:positionV relativeFrom="paragraph">
                  <wp:posOffset>116205</wp:posOffset>
                </wp:positionV>
                <wp:extent cx="5715000" cy="0"/>
                <wp:effectExtent l="0" t="13970" r="0" b="24130"/>
                <wp:wrapNone/>
                <wp:docPr id="7" name="直接连接符 7"/>
                <wp:cNvGraphicFramePr/>
                <a:graphic xmlns:a="http://schemas.openxmlformats.org/drawingml/2006/main">
                  <a:graphicData uri="http://schemas.microsoft.com/office/word/2010/wordprocessingShape">
                    <wps:wsp>
                      <wps:cNvCnPr/>
                      <wps:spPr>
                        <a:xfrm>
                          <a:off x="0" y="0"/>
                          <a:ext cx="5715000" cy="0"/>
                        </a:xfrm>
                        <a:prstGeom prst="line">
                          <a:avLst/>
                        </a:prstGeom>
                        <a:ln w="28575" cap="flat" cmpd="thickThin">
                          <a:solidFill>
                            <a:srgbClr val="FF0000"/>
                          </a:solidFill>
                          <a:prstDash val="solid"/>
                          <a:round/>
                          <a:headEnd type="none" w="med" len="med"/>
                          <a:tailEnd type="none" w="med" len="med"/>
                        </a:ln>
                        <a:effectLst/>
                      </wps:spPr>
                      <wps:bodyPr upright="true"/>
                    </wps:wsp>
                  </a:graphicData>
                </a:graphic>
              </wp:anchor>
            </w:drawing>
          </mc:Choice>
          <mc:Fallback>
            <w:pict>
              <v:line id="_x0000_s1026" o:spid="_x0000_s1026" o:spt="20" style="position:absolute;left:0pt;margin-left:1.5pt;margin-top:9.15pt;height:0pt;width:450pt;z-index:251660288;mso-width-relative:page;mso-height-relative:page;" filled="f" stroked="t" coordsize="21600,21600" o:gfxdata="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Xk/k00gAAAAcBAAAPAAAAAAAAAAEAIAAAADgAAABkcnMvZG93bnJl&#10;di54bWxQSwECFAAUAAAACACHTuJA+DhheO0BAAC4AwAADgAAAAAAAAABACAAAAA3AQAAZHJzL2Uy&#10;b0RvYy54bWxQSwUGAAAAAAYABgBZAQAAlgUAAAAA&#10;">
                <v:fill on="f" focussize="0,0"/>
                <v:stroke weight="2.25pt" color="#FF0000" linestyle="thickThin" joinstyle="round"/>
                <v:imagedata o:title=""/>
                <o:lock v:ext="edit" aspectratio="f"/>
              </v:line>
            </w:pict>
          </mc:Fallback>
        </mc:AlternateConten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hint="eastAsia" w:ascii="仿宋_GB2312" w:hAnsi="仿宋_GB2312" w:eastAsia="仿宋_GB2312" w:cs="仿宋_GB2312"/>
          <w:b/>
          <w:bCs/>
          <w:sz w:val="32"/>
          <w:szCs w:val="32"/>
          <w:lang w:val="en-US" w:eastAsia="zh-CN"/>
        </w:rPr>
      </w:pPr>
    </w:p>
    <w:p>
      <w:pPr>
        <w:keepNext w:val="0"/>
        <w:keepLines w:val="0"/>
        <w:pageBreakBefore w:val="0"/>
        <w:widowControl w:val="0"/>
        <w:kinsoku/>
        <w:wordWrap/>
        <w:overflowPunct/>
        <w:topLinePunct w:val="0"/>
        <w:autoSpaceDE/>
        <w:autoSpaceDN/>
        <w:bidi w:val="0"/>
        <w:spacing w:line="0" w:lineRule="atLeast"/>
        <w:ind w:firstLine="0" w:firstLineChars="0"/>
        <w:jc w:val="center"/>
        <w:textAlignment w:val="auto"/>
        <w:rPr>
          <w:rFonts w:hint="eastAsia" w:ascii="方正小标宋_GBK" w:hAnsi="方正小标宋_GBK" w:eastAsia="方正小标宋_GBK" w:cs="方正小标宋_GBK"/>
          <w:b/>
          <w:bCs/>
          <w:color w:val="000000"/>
          <w:sz w:val="44"/>
          <w:szCs w:val="44"/>
        </w:rPr>
      </w:pPr>
      <w:r>
        <w:rPr>
          <w:rFonts w:hint="eastAsia" w:ascii="方正小标宋_GBK" w:hAnsi="方正小标宋_GBK" w:eastAsia="方正小标宋_GBK" w:cs="方正小标宋_GBK"/>
          <w:b/>
          <w:bCs/>
          <w:sz w:val="44"/>
          <w:szCs w:val="44"/>
        </w:rPr>
        <w:t>临沧市生态环境局关于云南一叶生物科技股份有限公司技术改造项目</w:t>
      </w:r>
      <w:r>
        <w:rPr>
          <w:rFonts w:hint="eastAsia" w:ascii="方正小标宋_GBK" w:hAnsi="方正小标宋_GBK" w:eastAsia="方正小标宋_GBK" w:cs="方正小标宋_GBK"/>
          <w:b/>
          <w:bCs/>
          <w:color w:val="000000"/>
          <w:sz w:val="44"/>
          <w:szCs w:val="44"/>
        </w:rPr>
        <w:t>环境影响报告表的批复</w:t>
      </w:r>
    </w:p>
    <w:p>
      <w:pPr>
        <w:keepNext w:val="0"/>
        <w:keepLines w:val="0"/>
        <w:pageBreakBefore w:val="0"/>
        <w:widowControl w:val="0"/>
        <w:kinsoku/>
        <w:wordWrap/>
        <w:overflowPunct/>
        <w:topLinePunct w:val="0"/>
        <w:autoSpaceDE/>
        <w:autoSpaceDN/>
        <w:bidi w:val="0"/>
        <w:spacing w:line="0" w:lineRule="atLeast"/>
        <w:ind w:left="0" w:leftChars="0" w:firstLine="0" w:firstLineChars="0"/>
        <w:jc w:val="left"/>
        <w:textAlignment w:val="auto"/>
        <w:rPr>
          <w:rFonts w:hint="eastAsia" w:ascii="仿宋_GB2312" w:hAnsi="仿宋_GB2312" w:eastAsia="仿宋_GB2312" w:cs="仿宋_GB2312"/>
          <w:i w:val="0"/>
          <w:iCs w:val="0"/>
          <w:caps w:val="0"/>
          <w:color w:val="000000"/>
          <w:spacing w:val="0"/>
          <w:sz w:val="32"/>
          <w:szCs w:val="32"/>
          <w:shd w:val="clear" w:fill="FFFFFF"/>
        </w:rPr>
      </w:pPr>
    </w:p>
    <w:p>
      <w:pPr>
        <w:keepNext w:val="0"/>
        <w:keepLines w:val="0"/>
        <w:pageBreakBefore w:val="0"/>
        <w:widowControl w:val="0"/>
        <w:kinsoku/>
        <w:wordWrap/>
        <w:overflowPunct/>
        <w:topLinePunct w:val="0"/>
        <w:autoSpaceDE/>
        <w:autoSpaceDN/>
        <w:bidi w:val="0"/>
        <w:spacing w:line="560" w:lineRule="exact"/>
        <w:ind w:left="0" w:leftChars="0" w:firstLine="0" w:firstLineChars="0"/>
        <w:jc w:val="left"/>
        <w:textAlignment w:val="auto"/>
        <w:rPr>
          <w:rFonts w:hint="eastAsia" w:ascii="仿宋_GB2312" w:hAnsi="仿宋_GB2312" w:eastAsia="仿宋_GB2312" w:cs="仿宋_GB2312"/>
          <w:i w:val="0"/>
          <w:iCs w:val="0"/>
          <w:caps w:val="0"/>
          <w:color w:val="000000"/>
          <w:spacing w:val="0"/>
          <w:sz w:val="32"/>
          <w:szCs w:val="32"/>
          <w:shd w:val="clear" w:fill="FFFFFF"/>
          <w:lang w:val="en-US" w:eastAsia="zh-CN"/>
        </w:rPr>
      </w:pPr>
      <w:r>
        <w:rPr>
          <w:rFonts w:hint="eastAsia" w:ascii="仿宋_GB2312" w:hAnsi="仿宋_GB2312" w:eastAsia="仿宋_GB2312" w:cs="仿宋_GB2312"/>
          <w:i w:val="0"/>
          <w:iCs w:val="0"/>
          <w:caps w:val="0"/>
          <w:color w:val="000000"/>
          <w:spacing w:val="0"/>
          <w:sz w:val="32"/>
          <w:szCs w:val="32"/>
          <w:shd w:val="clear" w:fill="FFFFFF"/>
          <w:lang w:val="en-US" w:eastAsia="zh-CN"/>
        </w:rPr>
        <w:t>云南一叶生物科技股份有限公司：</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sz w:val="32"/>
          <w:szCs w:val="32"/>
        </w:rPr>
        <w:t>你</w:t>
      </w:r>
      <w:r>
        <w:rPr>
          <w:rFonts w:hint="eastAsia" w:ascii="仿宋_GB2312" w:hAnsi="仿宋_GB2312" w:eastAsia="仿宋_GB2312" w:cs="仿宋_GB2312"/>
          <w:sz w:val="32"/>
          <w:szCs w:val="32"/>
          <w:lang w:eastAsia="zh-CN"/>
        </w:rPr>
        <w:t>公司</w:t>
      </w:r>
      <w:r>
        <w:rPr>
          <w:rFonts w:hint="eastAsia" w:ascii="仿宋_GB2312" w:hAnsi="仿宋_GB2312" w:eastAsia="仿宋_GB2312" w:cs="仿宋_GB2312"/>
          <w:sz w:val="32"/>
          <w:szCs w:val="32"/>
        </w:rPr>
        <w:t>申请报批的《云南一叶生物科技股份有限公司技术改造项目</w:t>
      </w:r>
      <w:r>
        <w:rPr>
          <w:rFonts w:hint="eastAsia" w:ascii="仿宋_GB2312" w:hAnsi="仿宋_GB2312" w:eastAsia="仿宋_GB2312" w:cs="仿宋_GB2312"/>
          <w:sz w:val="32"/>
          <w:szCs w:val="32"/>
          <w:lang w:eastAsia="zh-CN"/>
        </w:rPr>
        <w:t>环</w:t>
      </w:r>
      <w:r>
        <w:rPr>
          <w:rFonts w:hint="eastAsia" w:ascii="仿宋_GB2312" w:hAnsi="仿宋_GB2312" w:eastAsia="仿宋_GB2312" w:cs="仿宋_GB2312"/>
          <w:sz w:val="32"/>
          <w:szCs w:val="32"/>
        </w:rPr>
        <w:t>境影响报告表》（以下简称《报告表》）收悉。</w:t>
      </w:r>
      <w:r>
        <w:rPr>
          <w:rFonts w:hint="eastAsia" w:ascii="仿宋_GB2312" w:hAnsi="仿宋_GB2312" w:eastAsia="仿宋_GB2312" w:cs="仿宋_GB2312"/>
          <w:sz w:val="32"/>
          <w:szCs w:val="32"/>
          <w:lang w:val="en-US" w:eastAsia="zh-CN"/>
        </w:rPr>
        <w:t>现</w:t>
      </w:r>
      <w:r>
        <w:rPr>
          <w:rFonts w:hint="eastAsia" w:ascii="仿宋_GB2312" w:hAnsi="仿宋_GB2312" w:eastAsia="仿宋_GB2312" w:cs="仿宋_GB2312"/>
          <w:sz w:val="32"/>
          <w:szCs w:val="32"/>
        </w:rPr>
        <w:t>批复如下：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一、项目基本信息</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Times New Roman" w:hAnsi="Times New Roman" w:eastAsia="仿宋_GB2312" w:cs="Times New Roman"/>
          <w:color w:val="auto"/>
          <w:kern w:val="0"/>
          <w:sz w:val="32"/>
          <w:szCs w:val="32"/>
          <w:lang w:eastAsia="zh-CN"/>
        </w:rPr>
      </w:pPr>
      <w:r>
        <w:rPr>
          <w:rFonts w:hint="default" w:ascii="Times New Roman" w:hAnsi="Times New Roman" w:eastAsia="仿宋_GB2312" w:cs="Times New Roman"/>
          <w:color w:val="auto"/>
          <w:kern w:val="0"/>
          <w:sz w:val="32"/>
          <w:szCs w:val="32"/>
        </w:rPr>
        <w:t>项目位于临沧市凤庆县凤山镇滇红生态产业园区，</w:t>
      </w:r>
      <w:r>
        <w:rPr>
          <w:rFonts w:hint="eastAsia" w:eastAsia="仿宋_GB2312" w:cs="Times New Roman"/>
          <w:color w:val="auto"/>
          <w:kern w:val="0"/>
          <w:sz w:val="32"/>
          <w:szCs w:val="32"/>
          <w:lang w:val="en-US" w:eastAsia="zh-CN"/>
        </w:rPr>
        <w:t>中心地理</w:t>
      </w:r>
      <w:r>
        <w:rPr>
          <w:rFonts w:hint="default" w:ascii="Times New Roman" w:hAnsi="Times New Roman" w:eastAsia="仿宋_GB2312" w:cs="Times New Roman"/>
          <w:color w:val="auto"/>
          <w:kern w:val="0"/>
          <w:sz w:val="32"/>
          <w:szCs w:val="32"/>
          <w:lang w:val="en-US" w:eastAsia="zh-CN"/>
        </w:rPr>
        <w:t>坐标为东经</w:t>
      </w:r>
      <w:r>
        <w:rPr>
          <w:rFonts w:hint="default" w:eastAsia="仿宋_GB2312" w:cs="Times New Roman"/>
          <w:color w:val="auto"/>
          <w:kern w:val="0"/>
          <w:sz w:val="32"/>
          <w:szCs w:val="32"/>
          <w:lang w:val="en-US" w:eastAsia="zh-CN"/>
        </w:rPr>
        <w:t>99</w:t>
      </w:r>
      <w:r>
        <w:rPr>
          <w:rFonts w:hint="default" w:ascii="Times New Roman" w:hAnsi="Times New Roman" w:eastAsia="仿宋_GB2312" w:cs="Times New Roman"/>
          <w:color w:val="auto"/>
          <w:kern w:val="0"/>
          <w:sz w:val="32"/>
          <w:szCs w:val="32"/>
          <w:lang w:val="en-US" w:eastAsia="zh-CN"/>
        </w:rPr>
        <w:t>°</w:t>
      </w:r>
      <w:r>
        <w:rPr>
          <w:rFonts w:hint="default" w:eastAsia="仿宋_GB2312" w:cs="Times New Roman"/>
          <w:color w:val="auto"/>
          <w:kern w:val="0"/>
          <w:sz w:val="32"/>
          <w:szCs w:val="32"/>
          <w:lang w:val="en-US" w:eastAsia="zh-CN"/>
        </w:rPr>
        <w:t>58</w:t>
      </w:r>
      <w:r>
        <w:rPr>
          <w:rFonts w:hint="default" w:ascii="Times New Roman" w:hAnsi="Times New Roman" w:eastAsia="仿宋_GB2312" w:cs="Times New Roman"/>
          <w:color w:val="auto"/>
          <w:kern w:val="0"/>
          <w:sz w:val="32"/>
          <w:szCs w:val="32"/>
          <w:lang w:val="en-US" w:eastAsia="zh-CN"/>
        </w:rPr>
        <w:t>′</w:t>
      </w:r>
      <w:r>
        <w:rPr>
          <w:rFonts w:hint="default" w:eastAsia="仿宋_GB2312" w:cs="Times New Roman"/>
          <w:color w:val="auto"/>
          <w:kern w:val="0"/>
          <w:sz w:val="32"/>
          <w:szCs w:val="32"/>
          <w:lang w:val="en-US" w:eastAsia="zh-CN"/>
        </w:rPr>
        <w:t>53.051</w:t>
      </w:r>
      <w:r>
        <w:rPr>
          <w:rFonts w:hint="default" w:ascii="Times New Roman" w:hAnsi="Times New Roman" w:eastAsia="仿宋_GB2312" w:cs="Times New Roman"/>
          <w:color w:val="auto"/>
          <w:kern w:val="0"/>
          <w:sz w:val="32"/>
          <w:szCs w:val="32"/>
          <w:lang w:val="en-US" w:eastAsia="zh-CN"/>
        </w:rPr>
        <w:t>″，北纬24°</w:t>
      </w:r>
      <w:r>
        <w:rPr>
          <w:rFonts w:hint="default" w:eastAsia="仿宋_GB2312" w:cs="Times New Roman"/>
          <w:color w:val="auto"/>
          <w:kern w:val="0"/>
          <w:sz w:val="32"/>
          <w:szCs w:val="32"/>
          <w:lang w:val="en-US" w:eastAsia="zh-CN"/>
        </w:rPr>
        <w:t>33</w:t>
      </w:r>
      <w:r>
        <w:rPr>
          <w:rFonts w:hint="default" w:ascii="Times New Roman" w:hAnsi="Times New Roman" w:eastAsia="仿宋_GB2312" w:cs="Times New Roman"/>
          <w:color w:val="auto"/>
          <w:kern w:val="0"/>
          <w:sz w:val="32"/>
          <w:szCs w:val="32"/>
          <w:lang w:val="en-US" w:eastAsia="zh-CN"/>
        </w:rPr>
        <w:t>′</w:t>
      </w:r>
      <w:r>
        <w:rPr>
          <w:rFonts w:hint="default" w:eastAsia="仿宋_GB2312" w:cs="Times New Roman"/>
          <w:color w:val="auto"/>
          <w:kern w:val="0"/>
          <w:sz w:val="32"/>
          <w:szCs w:val="32"/>
          <w:lang w:val="en-US" w:eastAsia="zh-CN"/>
        </w:rPr>
        <w:t>11.96</w:t>
      </w:r>
      <w:r>
        <w:rPr>
          <w:rFonts w:hint="default" w:ascii="Times New Roman" w:hAnsi="Times New Roman" w:eastAsia="仿宋_GB2312" w:cs="Times New Roman"/>
          <w:color w:val="auto"/>
          <w:kern w:val="0"/>
          <w:sz w:val="32"/>
          <w:szCs w:val="32"/>
          <w:lang w:val="en-US" w:eastAsia="zh-CN"/>
        </w:rPr>
        <w:t>″。</w:t>
      </w:r>
      <w:r>
        <w:rPr>
          <w:rFonts w:hint="eastAsia" w:eastAsia="仿宋_GB2312" w:cs="Times New Roman"/>
          <w:color w:val="auto"/>
          <w:kern w:val="0"/>
          <w:sz w:val="32"/>
          <w:szCs w:val="32"/>
          <w:lang w:val="en-US" w:eastAsia="zh-CN"/>
        </w:rPr>
        <w:t>项目占</w:t>
      </w:r>
      <w:r>
        <w:rPr>
          <w:rFonts w:hint="default" w:ascii="Times New Roman" w:hAnsi="Times New Roman" w:eastAsia="仿宋_GB2312" w:cs="Times New Roman"/>
          <w:color w:val="auto"/>
          <w:kern w:val="0"/>
          <w:sz w:val="32"/>
          <w:szCs w:val="32"/>
        </w:rPr>
        <w:t>地面积约</w:t>
      </w:r>
      <w:r>
        <w:rPr>
          <w:rFonts w:hint="default" w:eastAsia="仿宋_GB2312" w:cs="Times New Roman"/>
          <w:color w:val="auto"/>
          <w:kern w:val="0"/>
          <w:sz w:val="32"/>
          <w:szCs w:val="32"/>
          <w:lang w:val="en-US"/>
        </w:rPr>
        <w:t>7254.4</w:t>
      </w:r>
      <w:r>
        <w:rPr>
          <w:rFonts w:hint="default" w:ascii="Times New Roman" w:hAnsi="Times New Roman" w:eastAsia="仿宋_GB2312" w:cs="Times New Roman"/>
          <w:color w:val="auto"/>
          <w:kern w:val="0"/>
          <w:sz w:val="32"/>
          <w:szCs w:val="32"/>
        </w:rPr>
        <w:t>平方米</w:t>
      </w:r>
      <w:r>
        <w:rPr>
          <w:rFonts w:hint="eastAsia" w:eastAsia="仿宋_GB2312" w:cs="Times New Roman"/>
          <w:color w:val="auto"/>
          <w:kern w:val="0"/>
          <w:sz w:val="32"/>
          <w:szCs w:val="32"/>
          <w:lang w:eastAsia="zh-CN"/>
        </w:rPr>
        <w:t>，</w:t>
      </w:r>
      <w:r>
        <w:rPr>
          <w:rFonts w:hint="eastAsia" w:eastAsia="仿宋_GB2312" w:cs="Times New Roman"/>
          <w:color w:val="auto"/>
          <w:kern w:val="0"/>
          <w:sz w:val="32"/>
          <w:szCs w:val="32"/>
          <w:lang w:val="en-US" w:eastAsia="zh-CN"/>
        </w:rPr>
        <w:t>项目将现有的茶多酚生产线改造为植物油提取生产线，同时新建两条生产线，分别为植物提取物生产线和茶叶生产线。植物提取物包括核桃蛋白粉、中草药散剂、速溶茶和植物洗涤剂，而茶叶生产线则包括绿茶、红茶、白茶和普洱茶。</w:t>
      </w:r>
      <w:r>
        <w:rPr>
          <w:rFonts w:hint="default" w:ascii="Times New Roman" w:hAnsi="Times New Roman" w:eastAsia="仿宋_GB2312" w:cs="Times New Roman"/>
          <w:color w:val="auto"/>
          <w:kern w:val="0"/>
          <w:sz w:val="32"/>
          <w:szCs w:val="32"/>
        </w:rPr>
        <w:t>项目的总投资</w:t>
      </w:r>
      <w:r>
        <w:rPr>
          <w:rFonts w:hint="eastAsia" w:eastAsia="仿宋_GB2312" w:cs="Times New Roman"/>
          <w:color w:val="auto"/>
          <w:kern w:val="0"/>
          <w:sz w:val="32"/>
          <w:szCs w:val="32"/>
          <w:lang w:val="en-US" w:eastAsia="zh-CN"/>
        </w:rPr>
        <w:t>为</w:t>
      </w:r>
      <w:r>
        <w:rPr>
          <w:rFonts w:hint="default" w:eastAsia="仿宋_GB2312" w:cs="Times New Roman"/>
          <w:color w:val="auto"/>
          <w:kern w:val="0"/>
          <w:sz w:val="32"/>
          <w:szCs w:val="32"/>
          <w:lang w:val="en-US"/>
        </w:rPr>
        <w:t>2000</w:t>
      </w:r>
      <w:r>
        <w:rPr>
          <w:rFonts w:hint="default" w:ascii="Times New Roman" w:hAnsi="Times New Roman" w:eastAsia="仿宋_GB2312" w:cs="Times New Roman"/>
          <w:color w:val="auto"/>
          <w:kern w:val="0"/>
          <w:sz w:val="32"/>
          <w:szCs w:val="32"/>
        </w:rPr>
        <w:t>万元，其中环保投资</w:t>
      </w:r>
      <w:r>
        <w:rPr>
          <w:rFonts w:hint="default" w:eastAsia="仿宋_GB2312" w:cs="Times New Roman"/>
          <w:color w:val="auto"/>
          <w:kern w:val="0"/>
          <w:sz w:val="32"/>
          <w:szCs w:val="32"/>
          <w:lang w:val="en-US"/>
        </w:rPr>
        <w:t>259</w:t>
      </w:r>
      <w:r>
        <w:rPr>
          <w:rFonts w:hint="default" w:ascii="Times New Roman" w:hAnsi="Times New Roman" w:eastAsia="仿宋_GB2312" w:cs="Times New Roman"/>
          <w:color w:val="auto"/>
          <w:kern w:val="0"/>
          <w:sz w:val="32"/>
          <w:szCs w:val="32"/>
        </w:rPr>
        <w:t>万元，占总投资</w:t>
      </w:r>
      <w:r>
        <w:rPr>
          <w:rFonts w:hint="default" w:eastAsia="仿宋_GB2312" w:cs="Times New Roman"/>
          <w:color w:val="auto"/>
          <w:kern w:val="0"/>
          <w:sz w:val="32"/>
          <w:szCs w:val="32"/>
          <w:lang w:val="en-US"/>
        </w:rPr>
        <w:t>12.95</w:t>
      </w:r>
      <w:r>
        <w:rPr>
          <w:rFonts w:hint="default" w:ascii="Times New Roman" w:hAnsi="Times New Roman" w:eastAsia="仿宋_GB2312" w:cs="Times New Roman"/>
          <w:color w:val="auto"/>
          <w:kern w:val="0"/>
          <w:sz w:val="32"/>
          <w:szCs w:val="32"/>
        </w:rPr>
        <w:t>%</w:t>
      </w:r>
      <w:r>
        <w:rPr>
          <w:rFonts w:hint="eastAsia" w:eastAsia="仿宋_GB2312" w:cs="Times New Roman"/>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该《报告表》可作为该项目环境保护设计、建设、验收和运行环境管理的依据。项目建设符合国家及云南省对建设项目环境影响评价文件审批的有关规定，不存在工程建设的重大环境制约因素，</w:t>
      </w:r>
      <w:r>
        <w:rPr>
          <w:rFonts w:hint="eastAsia" w:ascii="仿宋_GB2312" w:hAnsi="仿宋_GB2312" w:eastAsia="仿宋_GB2312" w:cs="仿宋_GB2312"/>
          <w:color w:val="auto"/>
          <w:sz w:val="32"/>
          <w:szCs w:val="32"/>
          <w:lang w:eastAsia="zh-CN"/>
        </w:rPr>
        <w:t>市生态环境局</w:t>
      </w:r>
      <w:r>
        <w:rPr>
          <w:rFonts w:hint="eastAsia" w:ascii="仿宋_GB2312" w:hAnsi="仿宋_GB2312" w:eastAsia="仿宋_GB2312" w:cs="仿宋_GB2312"/>
          <w:color w:val="auto"/>
          <w:sz w:val="32"/>
          <w:szCs w:val="32"/>
        </w:rPr>
        <w:t>同意按照《报告表》所述的环境保护对策措施方案建设。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val="en-US" w:eastAsia="zh-CN"/>
        </w:rPr>
        <w:t>二、项目建设和生产过程中应当做好的工作</w:t>
      </w:r>
    </w:p>
    <w:p>
      <w:pPr>
        <w:keepNext w:val="0"/>
        <w:keepLines w:val="0"/>
        <w:pageBreakBefore w:val="0"/>
        <w:widowControl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color w:val="auto"/>
          <w:spacing w:val="0"/>
          <w:sz w:val="32"/>
          <w:szCs w:val="32"/>
          <w:lang w:eastAsia="zh-CN"/>
        </w:rPr>
      </w:pPr>
      <w:r>
        <w:rPr>
          <w:rFonts w:hint="eastAsia" w:ascii="仿宋_GB2312" w:hAnsi="仿宋_GB2312" w:eastAsia="仿宋_GB2312" w:cs="仿宋_GB2312"/>
          <w:color w:val="auto"/>
          <w:sz w:val="32"/>
          <w:szCs w:val="32"/>
          <w:lang w:val="en-US" w:eastAsia="zh-CN"/>
        </w:rPr>
        <w:t>（一）</w:t>
      </w:r>
      <w:r>
        <w:rPr>
          <w:rFonts w:hint="eastAsia" w:ascii="仿宋_GB2312" w:hAnsi="仿宋_GB2312" w:eastAsia="仿宋_GB2312" w:cs="仿宋_GB2312"/>
          <w:color w:val="auto"/>
          <w:spacing w:val="0"/>
          <w:sz w:val="32"/>
          <w:szCs w:val="32"/>
          <w:lang w:eastAsia="zh-CN"/>
        </w:rPr>
        <w:t>请</w:t>
      </w:r>
      <w:r>
        <w:rPr>
          <w:rFonts w:hint="eastAsia" w:ascii="仿宋_GB2312" w:hAnsi="仿宋_GB2312" w:eastAsia="仿宋_GB2312" w:cs="仿宋_GB2312"/>
          <w:color w:val="auto"/>
          <w:spacing w:val="0"/>
          <w:sz w:val="32"/>
          <w:szCs w:val="32"/>
          <w:lang w:val="en-US" w:eastAsia="zh-CN"/>
        </w:rPr>
        <w:t>你公司</w:t>
      </w:r>
      <w:r>
        <w:rPr>
          <w:rFonts w:hint="eastAsia" w:ascii="仿宋_GB2312" w:hAnsi="仿宋_GB2312" w:eastAsia="仿宋_GB2312" w:cs="仿宋_GB2312"/>
          <w:color w:val="auto"/>
          <w:spacing w:val="0"/>
          <w:sz w:val="32"/>
          <w:szCs w:val="32"/>
          <w:lang w:eastAsia="zh-CN"/>
        </w:rPr>
        <w:t>严格对照《报告表》提出的各项污染防治措施及要求落实。</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b w:val="0"/>
          <w:bCs w:val="0"/>
          <w:color w:val="000000" w:themeColor="text1"/>
          <w:sz w:val="32"/>
          <w:szCs w:val="32"/>
          <w14:textFill>
            <w14:solidFill>
              <w14:schemeClr w14:val="tx1"/>
            </w14:solidFill>
          </w14:textFill>
        </w:rPr>
      </w:pPr>
      <w:r>
        <w:rPr>
          <w:rFonts w:hint="eastAsia" w:ascii="仿宋_GB2312" w:hAnsi="仿宋_GB2312" w:eastAsia="仿宋_GB2312" w:cs="仿宋_GB2312"/>
          <w:color w:val="auto"/>
          <w:sz w:val="32"/>
          <w:szCs w:val="32"/>
          <w:lang w:val="en-US" w:eastAsia="zh-CN"/>
        </w:rPr>
        <w:t>（二）</w:t>
      </w:r>
      <w:r>
        <w:rPr>
          <w:rFonts w:hint="eastAsia" w:ascii="仿宋_GB2312" w:hAnsi="仿宋_GB2312" w:eastAsia="仿宋_GB2312" w:cs="仿宋_GB2312"/>
          <w:b w:val="0"/>
          <w:bCs w:val="0"/>
          <w:color w:val="000000" w:themeColor="text1"/>
          <w:sz w:val="32"/>
          <w:szCs w:val="32"/>
          <w14:textFill>
            <w14:solidFill>
              <w14:schemeClr w14:val="tx1"/>
            </w14:solidFill>
          </w14:textFill>
        </w:rPr>
        <w:t>项目建设必须严格执行配套建设的环境保护设施与主体工程同时设计、同时施工、同时投产使用的环境保护“三同时”制度。</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三）项目环境影响评价文件经批准后，如工程的性质、规模、工艺、地点或者防治污染、防止生态破坏的措施发生重大变动的，建设公司应当重新报批环境影响评价文件，否则不得实施建设。自环评批复文件批准之日起，如工程超过</w:t>
      </w:r>
      <w:r>
        <w:rPr>
          <w:rFonts w:hint="default" w:ascii="Times New Roman" w:hAnsi="Times New Roman" w:eastAsia="仿宋_GB2312" w:cs="Times New Roman"/>
          <w:color w:val="auto"/>
          <w:sz w:val="32"/>
          <w:szCs w:val="32"/>
          <w:lang w:val="en-US" w:eastAsia="zh-CN"/>
        </w:rPr>
        <w:t>5</w:t>
      </w:r>
      <w:r>
        <w:rPr>
          <w:rFonts w:hint="eastAsia" w:ascii="仿宋_GB2312" w:hAnsi="仿宋_GB2312" w:eastAsia="仿宋_GB2312" w:cs="仿宋_GB2312"/>
          <w:color w:val="auto"/>
          <w:sz w:val="32"/>
          <w:szCs w:val="32"/>
          <w:lang w:val="en-US" w:eastAsia="zh-CN"/>
        </w:rPr>
        <w:t>年未开工建设，环境影响评价文件应当报临沧市生态环境局重新审核。</w:t>
      </w:r>
    </w:p>
    <w:p>
      <w:pPr>
        <w:pStyle w:val="2"/>
        <w:keepNext w:val="0"/>
        <w:keepLines w:val="0"/>
        <w:pageBreakBefore w:val="0"/>
        <w:widowControl w:val="0"/>
        <w:kinsoku/>
        <w:wordWrap/>
        <w:overflowPunct/>
        <w:topLinePunct w:val="0"/>
        <w:autoSpaceDE/>
        <w:autoSpaceDN/>
        <w:bidi w:val="0"/>
        <w:adjustRightInd w:val="0"/>
        <w:snapToGrid w:val="0"/>
        <w:spacing w:before="0" w:after="0" w:line="560" w:lineRule="exact"/>
        <w:ind w:left="0" w:right="0" w:firstLine="640" w:firstLineChars="200"/>
        <w:textAlignment w:val="auto"/>
        <w:rPr>
          <w:rFonts w:hint="eastAsia" w:ascii="仿宋_GB2312" w:hAnsi="仿宋_GB2312" w:eastAsia="仿宋_GB2312" w:cs="仿宋_GB2312"/>
          <w:lang w:val="en-US" w:eastAsia="zh-CN"/>
        </w:rPr>
      </w:pPr>
      <w:r>
        <w:rPr>
          <w:rFonts w:hint="eastAsia" w:ascii="仿宋_GB2312" w:hAnsi="仿宋_GB2312" w:eastAsia="仿宋_GB2312" w:cs="仿宋_GB2312"/>
          <w:color w:val="auto"/>
          <w:sz w:val="32"/>
          <w:szCs w:val="32"/>
          <w:lang w:val="en-US" w:eastAsia="zh-CN"/>
        </w:rPr>
        <w:t>（四）</w:t>
      </w:r>
      <w:r>
        <w:rPr>
          <w:rFonts w:hint="eastAsia" w:ascii="仿宋_GB2312" w:hAnsi="仿宋_GB2312" w:eastAsia="仿宋_GB2312" w:cs="仿宋_GB2312"/>
          <w:color w:val="auto"/>
          <w:spacing w:val="0"/>
          <w:sz w:val="32"/>
          <w:szCs w:val="32"/>
          <w:lang w:eastAsia="zh-CN"/>
        </w:rPr>
        <w:t>请</w:t>
      </w:r>
      <w:r>
        <w:rPr>
          <w:rFonts w:hint="eastAsia" w:ascii="仿宋_GB2312" w:hAnsi="仿宋_GB2312" w:eastAsia="仿宋_GB2312" w:cs="仿宋_GB2312"/>
          <w:color w:val="auto"/>
          <w:spacing w:val="0"/>
          <w:sz w:val="32"/>
          <w:szCs w:val="32"/>
          <w:lang w:val="en-US" w:eastAsia="zh-CN"/>
        </w:rPr>
        <w:t>你公司</w:t>
      </w:r>
      <w:r>
        <w:rPr>
          <w:rFonts w:hint="eastAsia" w:ascii="仿宋_GB2312" w:hAnsi="仿宋_GB2312" w:eastAsia="仿宋_GB2312" w:cs="仿宋_GB2312"/>
          <w:color w:val="auto"/>
          <w:sz w:val="32"/>
          <w:szCs w:val="32"/>
          <w:lang w:val="en-US" w:eastAsia="zh-CN"/>
        </w:rPr>
        <w:t>按照《突发环境事件应急预案管理暂行办法》的要求，强化环境风险管理，制定环境风险应急预案并报市生态环境局凤庆分局备案；落实各项环境风险防范和应急处置设施（措施），做好日常环境应急演练和培训，开展环境监测，保障环境安全。</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kern w:val="0"/>
          <w:sz w:val="32"/>
          <w:szCs w:val="32"/>
          <w:lang w:val="en-US" w:eastAsia="zh-CN" w:bidi="ar-SA"/>
        </w:rPr>
        <w:t>（五）</w:t>
      </w:r>
      <w:r>
        <w:rPr>
          <w:rFonts w:hint="eastAsia" w:ascii="仿宋_GB2312" w:hAnsi="仿宋_GB2312" w:eastAsia="仿宋_GB2312" w:cs="仿宋_GB2312"/>
          <w:color w:val="auto"/>
          <w:sz w:val="32"/>
          <w:szCs w:val="32"/>
          <w:lang w:val="en-US" w:eastAsia="zh-CN"/>
        </w:rPr>
        <w:t>项目竣工后，</w:t>
      </w:r>
      <w:r>
        <w:rPr>
          <w:rFonts w:hint="eastAsia" w:ascii="仿宋_GB2312" w:hAnsi="仿宋_GB2312" w:eastAsia="仿宋_GB2312" w:cs="仿宋_GB2312"/>
          <w:color w:val="auto"/>
          <w:spacing w:val="0"/>
          <w:sz w:val="32"/>
          <w:szCs w:val="32"/>
          <w:lang w:eastAsia="zh-CN"/>
        </w:rPr>
        <w:t>请</w:t>
      </w:r>
      <w:r>
        <w:rPr>
          <w:rFonts w:hint="eastAsia" w:ascii="仿宋_GB2312" w:hAnsi="仿宋_GB2312" w:eastAsia="仿宋_GB2312" w:cs="仿宋_GB2312"/>
          <w:color w:val="auto"/>
          <w:spacing w:val="0"/>
          <w:sz w:val="32"/>
          <w:szCs w:val="32"/>
          <w:lang w:val="en-US" w:eastAsia="zh-CN"/>
        </w:rPr>
        <w:t>你公司</w:t>
      </w:r>
      <w:r>
        <w:rPr>
          <w:rFonts w:hint="eastAsia" w:ascii="仿宋_GB2312" w:hAnsi="仿宋_GB2312" w:eastAsia="仿宋_GB2312" w:cs="仿宋_GB2312"/>
          <w:color w:val="auto"/>
          <w:sz w:val="32"/>
          <w:szCs w:val="32"/>
          <w:lang w:val="en-US" w:eastAsia="zh-CN"/>
        </w:rPr>
        <w:t>严格按照《建设项目竣工环境保护验收暂行办法》有关规定，组织对配套建设的环境保护设施进行验收，并将相关信息向社会公开，同时将上述信息报送市生态环境局凤庆分局。</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color w:val="auto"/>
          <w:sz w:val="32"/>
          <w:szCs w:val="32"/>
        </w:rPr>
      </w:pPr>
      <w:r>
        <w:rPr>
          <w:rFonts w:hint="eastAsia" w:ascii="仿宋_GB2312" w:hAnsi="仿宋_GB2312" w:eastAsia="仿宋_GB2312" w:cs="仿宋_GB2312"/>
          <w:color w:val="auto"/>
          <w:sz w:val="32"/>
          <w:szCs w:val="32"/>
          <w:lang w:val="en-US" w:eastAsia="zh-CN"/>
        </w:rPr>
        <w:t>（六）</w:t>
      </w:r>
      <w:r>
        <w:rPr>
          <w:rFonts w:hint="eastAsia" w:ascii="仿宋_GB2312" w:hAnsi="仿宋_GB2312" w:eastAsia="仿宋_GB2312" w:cs="仿宋_GB2312"/>
          <w:color w:val="auto"/>
          <w:spacing w:val="0"/>
          <w:sz w:val="32"/>
          <w:szCs w:val="32"/>
          <w:lang w:eastAsia="zh-CN"/>
        </w:rPr>
        <w:t>请</w:t>
      </w:r>
      <w:r>
        <w:rPr>
          <w:rFonts w:hint="eastAsia" w:ascii="仿宋_GB2312" w:hAnsi="仿宋_GB2312" w:eastAsia="仿宋_GB2312" w:cs="仿宋_GB2312"/>
          <w:color w:val="auto"/>
          <w:spacing w:val="0"/>
          <w:sz w:val="32"/>
          <w:szCs w:val="32"/>
          <w:lang w:val="en-US" w:eastAsia="zh-CN"/>
        </w:rPr>
        <w:t>你</w:t>
      </w:r>
      <w:r>
        <w:rPr>
          <w:rFonts w:hint="eastAsia" w:ascii="仿宋_GB2312" w:hAnsi="仿宋_GB2312" w:eastAsia="仿宋_GB2312" w:cs="仿宋_GB2312"/>
          <w:color w:val="auto"/>
          <w:sz w:val="32"/>
          <w:szCs w:val="32"/>
          <w:lang w:eastAsia="zh-CN"/>
        </w:rPr>
        <w:t>公司</w:t>
      </w:r>
      <w:r>
        <w:rPr>
          <w:rFonts w:hint="eastAsia" w:ascii="仿宋_GB2312" w:hAnsi="仿宋_GB2312" w:eastAsia="仿宋_GB2312" w:cs="仿宋_GB2312"/>
          <w:color w:val="auto"/>
          <w:spacing w:val="0"/>
          <w:sz w:val="32"/>
          <w:szCs w:val="32"/>
          <w:lang w:val="en-US" w:eastAsia="zh-CN"/>
        </w:rPr>
        <w:t>在</w:t>
      </w:r>
      <w:r>
        <w:rPr>
          <w:rFonts w:hint="default" w:ascii="仿宋_GB2312" w:hAnsi="仿宋_GB2312" w:eastAsia="仿宋_GB2312" w:cs="仿宋_GB2312"/>
          <w:kern w:val="0"/>
          <w:sz w:val="32"/>
          <w:szCs w:val="32"/>
          <w:lang w:val="en-US" w:eastAsia="zh-CN" w:bidi="ar-SA"/>
        </w:rPr>
        <w:t>启动生产设施或者发生实际排污行为之前依法申请取得</w:t>
      </w:r>
      <w:bookmarkStart w:id="0" w:name="_GoBack"/>
      <w:bookmarkEnd w:id="0"/>
      <w:r>
        <w:rPr>
          <w:rFonts w:hint="default" w:ascii="仿宋_GB2312" w:hAnsi="仿宋_GB2312" w:eastAsia="仿宋_GB2312" w:cs="仿宋_GB2312"/>
          <w:kern w:val="0"/>
          <w:sz w:val="32"/>
          <w:szCs w:val="32"/>
          <w:lang w:val="en-US" w:eastAsia="zh-CN" w:bidi="ar-SA"/>
        </w:rPr>
        <w:t>排污许可证</w:t>
      </w:r>
      <w:r>
        <w:rPr>
          <w:rFonts w:hint="eastAsia" w:ascii="仿宋_GB2312" w:hAnsi="仿宋_GB2312" w:eastAsia="仿宋_GB2312" w:cs="仿宋_GB2312"/>
          <w:kern w:val="0"/>
          <w:sz w:val="32"/>
          <w:szCs w:val="32"/>
          <w:lang w:val="en-US" w:eastAsia="zh-CN" w:bidi="ar-SA"/>
        </w:rPr>
        <w:t>，</w:t>
      </w:r>
      <w:r>
        <w:rPr>
          <w:rFonts w:hint="default" w:ascii="仿宋_GB2312" w:hAnsi="仿宋_GB2312" w:eastAsia="仿宋_GB2312" w:cs="仿宋_GB2312"/>
          <w:kern w:val="0"/>
          <w:sz w:val="32"/>
          <w:szCs w:val="32"/>
          <w:lang w:val="en-US" w:eastAsia="zh-CN" w:bidi="ar-SA"/>
        </w:rPr>
        <w:t>未取得排污许可证前</w:t>
      </w:r>
      <w:r>
        <w:rPr>
          <w:rFonts w:hint="eastAsia" w:ascii="仿宋_GB2312" w:hAnsi="仿宋_GB2312" w:eastAsia="仿宋_GB2312" w:cs="仿宋_GB2312"/>
          <w:kern w:val="0"/>
          <w:sz w:val="32"/>
          <w:szCs w:val="32"/>
          <w:lang w:val="en-US" w:eastAsia="zh-CN" w:bidi="ar-SA"/>
        </w:rPr>
        <w:t>，</w:t>
      </w:r>
      <w:r>
        <w:rPr>
          <w:rFonts w:hint="default" w:ascii="仿宋_GB2312" w:hAnsi="仿宋_GB2312" w:eastAsia="仿宋_GB2312" w:cs="仿宋_GB2312"/>
          <w:kern w:val="0"/>
          <w:sz w:val="32"/>
          <w:szCs w:val="32"/>
          <w:lang w:val="en-US" w:eastAsia="zh-CN" w:bidi="ar-SA"/>
        </w:rPr>
        <w:t>不得</w:t>
      </w:r>
      <w:r>
        <w:rPr>
          <w:rFonts w:hint="eastAsia" w:eastAsia="仿宋_GB2312" w:cs="Times New Roman"/>
          <w:color w:val="auto"/>
          <w:sz w:val="32"/>
          <w:szCs w:val="32"/>
          <w:lang w:val="en-US" w:eastAsia="zh-CN"/>
        </w:rPr>
        <w:t>排污</w:t>
      </w:r>
      <w:r>
        <w:rPr>
          <w:rFonts w:hint="default" w:ascii="Times New Roman" w:hAnsi="Times New Roman" w:eastAsia="仿宋_GB2312"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right="0" w:firstLine="640" w:firstLineChars="200"/>
        <w:textAlignment w:val="auto"/>
        <w:rPr>
          <w:rFonts w:hint="default" w:ascii="Times New Roman" w:hAnsi="Times New Roman" w:eastAsia="仿宋_GB2312" w:cs="Times New Roman"/>
          <w:color w:val="auto"/>
          <w:sz w:val="32"/>
          <w:szCs w:val="32"/>
          <w:lang w:val="en-US" w:eastAsia="zh-CN"/>
        </w:rPr>
      </w:pPr>
      <w:r>
        <w:rPr>
          <w:rFonts w:hint="eastAsia" w:ascii="Times New Roman" w:hAnsi="Times New Roman" w:eastAsia="仿宋_GB2312" w:cs="Times New Roman"/>
          <w:color w:val="auto"/>
          <w:sz w:val="32"/>
          <w:szCs w:val="32"/>
          <w:lang w:val="en-US" w:eastAsia="zh-CN"/>
        </w:rPr>
        <w:t>（七）</w:t>
      </w:r>
      <w:r>
        <w:rPr>
          <w:rFonts w:hint="eastAsia" w:ascii="仿宋_GB2312" w:hAnsi="仿宋_GB2312" w:eastAsia="仿宋_GB2312" w:cs="仿宋_GB2312"/>
          <w:color w:val="auto"/>
          <w:sz w:val="32"/>
          <w:szCs w:val="32"/>
          <w:lang w:val="en-US" w:eastAsia="zh-CN"/>
        </w:rPr>
        <w:t>临沧市</w:t>
      </w:r>
      <w:r>
        <w:rPr>
          <w:rFonts w:hint="eastAsia" w:ascii="仿宋_GB2312" w:hAnsi="仿宋_GB2312" w:eastAsia="仿宋_GB2312" w:cs="仿宋_GB2312"/>
          <w:sz w:val="32"/>
          <w:szCs w:val="32"/>
        </w:rPr>
        <w:t>生态环境局</w:t>
      </w:r>
      <w:r>
        <w:rPr>
          <w:rFonts w:hint="eastAsia" w:ascii="仿宋_GB2312" w:hAnsi="仿宋_GB2312" w:eastAsia="仿宋_GB2312" w:cs="仿宋_GB2312"/>
          <w:color w:val="auto"/>
          <w:sz w:val="32"/>
          <w:szCs w:val="32"/>
          <w:lang w:val="en-US" w:eastAsia="zh-CN"/>
        </w:rPr>
        <w:t>凤庆</w:t>
      </w:r>
      <w:r>
        <w:rPr>
          <w:rFonts w:hint="eastAsia" w:ascii="仿宋_GB2312" w:hAnsi="仿宋_GB2312" w:eastAsia="仿宋_GB2312" w:cs="仿宋_GB2312"/>
          <w:sz w:val="32"/>
          <w:szCs w:val="32"/>
        </w:rPr>
        <w:t>分局要切实履行属地监管职责，按照相关法律法规及《关于进一步完善建设项目环境保护“三同时”及竣工环境保护自主验收监管工作机制的意见》（环执法</w:t>
      </w:r>
      <w:r>
        <w:rPr>
          <w:rFonts w:hint="default" w:ascii="Times New Roman" w:hAnsi="Times New Roman" w:eastAsia="仿宋_GB2312" w:cs="Times New Roman"/>
          <w:sz w:val="32"/>
          <w:szCs w:val="32"/>
        </w:rPr>
        <w:t>〔2021〕70号）要求，加强对该项目环境保护</w:t>
      </w:r>
      <w:r>
        <w:rPr>
          <w:rFonts w:hint="default" w:ascii="仿宋_GB2312" w:hAnsi="仿宋_GB2312" w:eastAsia="仿宋_GB2312" w:cs="仿宋_GB2312"/>
          <w:sz w:val="32"/>
          <w:szCs w:val="32"/>
        </w:rPr>
        <w:t>“三同时”</w:t>
      </w:r>
      <w:r>
        <w:rPr>
          <w:rFonts w:hint="default" w:ascii="Times New Roman" w:hAnsi="Times New Roman" w:eastAsia="仿宋_GB2312" w:cs="Times New Roman"/>
          <w:sz w:val="32"/>
          <w:szCs w:val="32"/>
        </w:rPr>
        <w:t>及自主验收监管。</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120" w:firstLineChars="1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临沧市生态环境局</w:t>
      </w:r>
    </w:p>
    <w:p>
      <w:pPr>
        <w:keepNext w:val="0"/>
        <w:keepLines w:val="0"/>
        <w:pageBreakBefore w:val="0"/>
        <w:widowControl w:val="0"/>
        <w:kinsoku/>
        <w:wordWrap/>
        <w:overflowPunct/>
        <w:topLinePunct w:val="0"/>
        <w:autoSpaceDE/>
        <w:autoSpaceDN/>
        <w:bidi w:val="0"/>
        <w:adjustRightInd/>
        <w:snapToGrid/>
        <w:spacing w:line="560" w:lineRule="exact"/>
        <w:ind w:firstLine="5760" w:firstLineChars="1800"/>
        <w:jc w:val="both"/>
        <w:textAlignment w:val="auto"/>
        <w:rPr>
          <w:rFonts w:hint="default" w:ascii="Times New Roman" w:hAnsi="Times New Roman" w:eastAsia="仿宋_GB2312" w:cs="Times New Roman"/>
          <w:highlight w:val="none"/>
        </w:rPr>
      </w:pPr>
      <w:r>
        <w:rPr>
          <w:rFonts w:hint="default" w:ascii="Times New Roman" w:hAnsi="Times New Roman" w:eastAsia="仿宋_GB2312" w:cs="Times New Roman"/>
          <w:sz w:val="32"/>
          <w:szCs w:val="32"/>
          <w:highlight w:val="none"/>
        </w:rPr>
        <w:t>202</w:t>
      </w:r>
      <w:r>
        <w:rPr>
          <w:rFonts w:hint="default" w:ascii="Times New Roman" w:hAnsi="Times New Roman" w:eastAsia="仿宋_GB2312" w:cs="Times New Roman"/>
          <w:sz w:val="32"/>
          <w:szCs w:val="32"/>
          <w:highlight w:val="none"/>
          <w:lang w:val="en-US" w:eastAsia="zh-CN"/>
        </w:rPr>
        <w:t>3</w:t>
      </w:r>
      <w:r>
        <w:rPr>
          <w:rFonts w:hint="default" w:ascii="Times New Roman" w:hAnsi="Times New Roman" w:eastAsia="仿宋_GB2312" w:cs="Times New Roman"/>
          <w:sz w:val="32"/>
          <w:szCs w:val="32"/>
          <w:highlight w:val="none"/>
        </w:rPr>
        <w:t>年</w:t>
      </w:r>
      <w:r>
        <w:rPr>
          <w:rFonts w:hint="default" w:eastAsia="仿宋_GB2312" w:cs="Times New Roman"/>
          <w:sz w:val="32"/>
          <w:szCs w:val="32"/>
          <w:highlight w:val="none"/>
          <w:lang w:val="en-US" w:eastAsia="zh-CN"/>
        </w:rPr>
        <w:t>12</w:t>
      </w:r>
      <w:r>
        <w:rPr>
          <w:rFonts w:hint="default" w:ascii="Times New Roman" w:hAnsi="Times New Roman" w:eastAsia="仿宋_GB2312" w:cs="Times New Roman"/>
          <w:sz w:val="32"/>
          <w:szCs w:val="32"/>
          <w:highlight w:val="none"/>
        </w:rPr>
        <w:t>月</w:t>
      </w:r>
      <w:r>
        <w:rPr>
          <w:rFonts w:hint="eastAsia" w:eastAsia="仿宋_GB2312" w:cs="Times New Roman"/>
          <w:sz w:val="32"/>
          <w:szCs w:val="32"/>
          <w:highlight w:val="none"/>
          <w:lang w:val="en-US" w:eastAsia="zh-CN"/>
        </w:rPr>
        <w:t>27</w:t>
      </w:r>
      <w:r>
        <w:rPr>
          <w:rFonts w:hint="default" w:ascii="Times New Roman" w:hAnsi="Times New Roman" w:eastAsia="仿宋_GB2312" w:cs="Times New Roman"/>
          <w:sz w:val="32"/>
          <w:szCs w:val="32"/>
          <w:highlight w:val="none"/>
        </w:rPr>
        <w:t>日</w:t>
      </w:r>
    </w:p>
    <w:p>
      <w:pPr>
        <w:rPr>
          <w:rFonts w:hint="default" w:ascii="Times New Roman" w:hAnsi="Times New Roman" w:eastAsia="仿宋_GB2312" w:cs="Times New Roman"/>
        </w:rPr>
      </w:pPr>
    </w:p>
    <w:p>
      <w:pPr>
        <w:rPr>
          <w:rFonts w:hint="eastAsia" w:ascii="仿宋_GB2312" w:hAnsi="仿宋_GB2312" w:eastAsia="仿宋_GB2312" w:cs="仿宋_GB2312"/>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tbl>
      <w:tblPr>
        <w:tblStyle w:val="8"/>
        <w:tblpPr w:leftFromText="180" w:rightFromText="180" w:vertAnchor="text" w:horzAnchor="page" w:tblpX="1487" w:tblpY="8137"/>
        <w:tblOverlap w:val="never"/>
        <w:tblW w:w="9173"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173"/>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9173" w:type="dxa"/>
            <w:tcBorders>
              <w:top w:val="single" w:color="auto" w:sz="4" w:space="0"/>
              <w:left w:val="nil"/>
              <w:bottom w:val="single" w:color="auto" w:sz="4" w:space="0"/>
              <w:right w:val="nil"/>
            </w:tcBorders>
          </w:tcPr>
          <w:p>
            <w:pPr>
              <w:keepNext w:val="0"/>
              <w:keepLines w:val="0"/>
              <w:pageBreakBefore w:val="0"/>
              <w:widowControl w:val="0"/>
              <w:kinsoku/>
              <w:wordWrap/>
              <w:overflowPunct/>
              <w:topLinePunct w:val="0"/>
              <w:autoSpaceDE/>
              <w:autoSpaceDN/>
              <w:bidi w:val="0"/>
              <w:adjustRightInd w:val="0"/>
              <w:snapToGrid w:val="0"/>
              <w:spacing w:line="0" w:lineRule="atLeast"/>
              <w:ind w:left="1118" w:leftChars="116" w:hanging="840" w:hangingChars="300"/>
              <w:textAlignment w:val="auto"/>
              <w:rPr>
                <w:rFonts w:hint="eastAsia" w:ascii="仿宋_GB2312" w:hAnsi="仿宋_GB2312" w:eastAsia="仿宋_GB2312" w:cs="仿宋_GB2312"/>
                <w:kern w:val="2"/>
                <w:sz w:val="21"/>
                <w:lang w:val="en-US" w:eastAsia="zh-CN"/>
              </w:rPr>
            </w:pPr>
            <w:r>
              <w:rPr>
                <w:rFonts w:hint="eastAsia" w:ascii="仿宋_GB2312" w:hAnsi="仿宋_GB2312" w:eastAsia="仿宋_GB2312" w:cs="仿宋_GB2312"/>
                <w:kern w:val="0"/>
                <w:sz w:val="28"/>
                <w:szCs w:val="28"/>
              </w:rPr>
              <w:t>抄送：</w:t>
            </w:r>
            <w:r>
              <w:rPr>
                <w:rFonts w:hint="eastAsia" w:ascii="仿宋_GB2312" w:hAnsi="仿宋_GB2312" w:eastAsia="仿宋_GB2312" w:cs="仿宋_GB2312"/>
                <w:kern w:val="0"/>
                <w:sz w:val="28"/>
                <w:szCs w:val="28"/>
                <w:lang w:eastAsia="zh-CN"/>
              </w:rPr>
              <w:t>市</w:t>
            </w:r>
            <w:r>
              <w:rPr>
                <w:rFonts w:hint="eastAsia" w:ascii="仿宋_GB2312" w:hAnsi="仿宋_GB2312" w:eastAsia="仿宋_GB2312" w:cs="仿宋_GB2312"/>
                <w:kern w:val="0"/>
                <w:sz w:val="28"/>
                <w:szCs w:val="28"/>
                <w:lang w:val="en-US" w:eastAsia="zh-CN"/>
              </w:rPr>
              <w:t>工业和信息化</w:t>
            </w:r>
            <w:r>
              <w:rPr>
                <w:rFonts w:hint="eastAsia" w:ascii="仿宋_GB2312" w:hAnsi="仿宋_GB2312" w:eastAsia="仿宋_GB2312" w:cs="仿宋_GB2312"/>
                <w:kern w:val="0"/>
                <w:sz w:val="28"/>
                <w:szCs w:val="28"/>
                <w:lang w:eastAsia="zh-CN"/>
              </w:rPr>
              <w:t>局，</w:t>
            </w:r>
            <w:r>
              <w:rPr>
                <w:rFonts w:hint="eastAsia" w:ascii="仿宋_GB2312" w:hAnsi="仿宋_GB2312" w:eastAsia="仿宋_GB2312" w:cs="仿宋_GB2312"/>
                <w:kern w:val="0"/>
                <w:sz w:val="28"/>
                <w:szCs w:val="28"/>
              </w:rPr>
              <w:t>市生态环境局</w:t>
            </w:r>
            <w:r>
              <w:rPr>
                <w:rFonts w:hint="eastAsia" w:ascii="仿宋_GB2312" w:hAnsi="仿宋_GB2312" w:eastAsia="仿宋_GB2312" w:cs="仿宋_GB2312"/>
                <w:kern w:val="0"/>
                <w:sz w:val="28"/>
                <w:szCs w:val="28"/>
                <w:lang w:val="en-US" w:eastAsia="zh-CN"/>
              </w:rPr>
              <w:t>各科、室、支队、中心、站，凤庆</w:t>
            </w:r>
            <w:r>
              <w:rPr>
                <w:rFonts w:hint="eastAsia" w:ascii="仿宋_GB2312" w:hAnsi="仿宋_GB2312" w:eastAsia="仿宋_GB2312" w:cs="仿宋_GB2312"/>
                <w:kern w:val="0"/>
                <w:sz w:val="28"/>
                <w:szCs w:val="28"/>
              </w:rPr>
              <w:t>分局</w:t>
            </w:r>
            <w:r>
              <w:rPr>
                <w:rFonts w:hint="eastAsia" w:ascii="仿宋_GB2312" w:hAnsi="仿宋_GB2312" w:eastAsia="仿宋_GB2312" w:cs="仿宋_GB2312"/>
                <w:kern w:val="0"/>
                <w:sz w:val="28"/>
                <w:szCs w:val="28"/>
                <w:lang w:val="en-US" w:eastAsia="zh-CN"/>
              </w:rPr>
              <w:t>。</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9" w:hRule="atLeast"/>
        </w:trPr>
        <w:tc>
          <w:tcPr>
            <w:tcW w:w="9173" w:type="dxa"/>
            <w:tcBorders>
              <w:top w:val="single" w:color="auto" w:sz="4" w:space="0"/>
              <w:left w:val="nil"/>
              <w:bottom w:val="single" w:color="auto" w:sz="4" w:space="0"/>
              <w:right w:val="nil"/>
            </w:tcBorders>
          </w:tcPr>
          <w:p>
            <w:pPr>
              <w:spacing w:line="560" w:lineRule="exact"/>
              <w:ind w:firstLine="280" w:firstLineChars="100"/>
              <w:rPr>
                <w:rFonts w:hint="eastAsia" w:ascii="仿宋_GB2312" w:hAnsi="仿宋_GB2312" w:eastAsia="仿宋_GB2312" w:cs="仿宋_GB2312"/>
                <w:kern w:val="2"/>
                <w:sz w:val="21"/>
              </w:rPr>
            </w:pPr>
            <w:r>
              <w:rPr>
                <w:rFonts w:hint="eastAsia" w:ascii="仿宋_GB2312" w:hAnsi="仿宋_GB2312" w:eastAsia="仿宋_GB2312" w:cs="仿宋_GB2312"/>
                <w:kern w:val="0"/>
                <w:sz w:val="28"/>
                <w:szCs w:val="28"/>
              </w:rPr>
              <w:t xml:space="preserve">临沧市生态环境局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lang w:val="en-US" w:eastAsia="zh-CN"/>
              </w:rPr>
              <w:t xml:space="preserve">    </w:t>
            </w:r>
            <w:r>
              <w:rPr>
                <w:rFonts w:hint="eastAsia" w:ascii="仿宋_GB2312" w:hAnsi="仿宋_GB2312" w:eastAsia="仿宋_GB2312" w:cs="仿宋_GB2312"/>
                <w:kern w:val="0"/>
                <w:sz w:val="28"/>
                <w:szCs w:val="28"/>
              </w:rPr>
              <w:t xml:space="preserve"> </w:t>
            </w:r>
            <w:r>
              <w:rPr>
                <w:rFonts w:hint="eastAsia" w:ascii="仿宋_GB2312" w:hAnsi="仿宋_GB2312" w:eastAsia="仿宋_GB2312" w:cs="仿宋_GB2312"/>
                <w:kern w:val="0"/>
                <w:sz w:val="28"/>
                <w:szCs w:val="28"/>
                <w:highlight w:val="none"/>
                <w:lang w:val="en-US" w:eastAsia="zh-CN"/>
              </w:rPr>
              <w:t xml:space="preserve"> </w:t>
            </w:r>
            <w:r>
              <w:rPr>
                <w:rFonts w:hint="default" w:ascii="Times New Roman" w:hAnsi="Times New Roman" w:eastAsia="仿宋_GB2312" w:cs="Times New Roman"/>
                <w:kern w:val="0"/>
                <w:sz w:val="28"/>
                <w:szCs w:val="28"/>
                <w:highlight w:val="none"/>
              </w:rPr>
              <w:t>202</w:t>
            </w:r>
            <w:r>
              <w:rPr>
                <w:rFonts w:hint="default" w:ascii="Times New Roman" w:hAnsi="Times New Roman" w:eastAsia="仿宋_GB2312" w:cs="Times New Roman"/>
                <w:kern w:val="0"/>
                <w:sz w:val="28"/>
                <w:szCs w:val="28"/>
                <w:highlight w:val="none"/>
                <w:lang w:val="en-US" w:eastAsia="zh-CN"/>
              </w:rPr>
              <w:t>3</w:t>
            </w:r>
            <w:r>
              <w:rPr>
                <w:rFonts w:hint="default" w:ascii="Times New Roman" w:hAnsi="Times New Roman" w:eastAsia="仿宋_GB2312" w:cs="Times New Roman"/>
                <w:kern w:val="0"/>
                <w:sz w:val="28"/>
                <w:szCs w:val="28"/>
                <w:highlight w:val="none"/>
              </w:rPr>
              <w:t>年</w:t>
            </w:r>
            <w:r>
              <w:rPr>
                <w:rFonts w:hint="eastAsia" w:eastAsia="仿宋_GB2312" w:cs="Times New Roman"/>
                <w:kern w:val="0"/>
                <w:sz w:val="28"/>
                <w:szCs w:val="28"/>
                <w:highlight w:val="none"/>
                <w:lang w:val="en-US" w:eastAsia="zh-CN"/>
              </w:rPr>
              <w:t>12</w:t>
            </w:r>
            <w:r>
              <w:rPr>
                <w:rFonts w:hint="default" w:ascii="Times New Roman" w:hAnsi="Times New Roman" w:eastAsia="仿宋_GB2312" w:cs="Times New Roman"/>
                <w:kern w:val="0"/>
                <w:sz w:val="28"/>
                <w:szCs w:val="28"/>
                <w:highlight w:val="none"/>
              </w:rPr>
              <w:t>月</w:t>
            </w:r>
            <w:r>
              <w:rPr>
                <w:rFonts w:hint="eastAsia" w:eastAsia="仿宋_GB2312" w:cs="Times New Roman"/>
                <w:kern w:val="0"/>
                <w:sz w:val="28"/>
                <w:szCs w:val="28"/>
                <w:highlight w:val="none"/>
                <w:lang w:val="en-US" w:eastAsia="zh-CN"/>
              </w:rPr>
              <w:t>27</w:t>
            </w:r>
            <w:r>
              <w:rPr>
                <w:rFonts w:hint="default" w:ascii="Times New Roman" w:hAnsi="Times New Roman" w:eastAsia="仿宋_GB2312" w:cs="Times New Roman"/>
                <w:kern w:val="0"/>
                <w:sz w:val="28"/>
                <w:szCs w:val="28"/>
                <w:highlight w:val="none"/>
              </w:rPr>
              <w:t>日印</w:t>
            </w:r>
          </w:p>
        </w:tc>
      </w:tr>
    </w:tbl>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Pr>
        <w:pStyle w:val="3"/>
        <w:rPr>
          <w:rFonts w:hint="eastAsia" w:ascii="仿宋_GB2312" w:hAnsi="仿宋_GB2312" w:eastAsia="仿宋_GB2312" w:cs="仿宋_GB2312"/>
          <w:kern w:val="2"/>
          <w:sz w:val="24"/>
          <w:szCs w:val="24"/>
          <w:lang w:val="en-US" w:eastAsia="zh-CN" w:bidi="ar-SA"/>
        </w:rPr>
      </w:pPr>
    </w:p>
    <w:p/>
    <w:p/>
    <w:p/>
    <w:p/>
    <w:sectPr>
      <w:footerReference r:id="rId5" w:type="default"/>
      <w:pgSz w:w="11906" w:h="16838"/>
      <w:pgMar w:top="2154" w:right="1474" w:bottom="2041" w:left="1531"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480"/>
      </w:pPr>
      <w:r>
        <w:separator/>
      </w:r>
    </w:p>
  </w:endnote>
  <w:endnote w:type="continuationSeparator" w:id="1">
    <w:p>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5"/>
                            <w:rPr>
                              <w:rFonts w:hint="eastAsia" w:asciiTheme="minorEastAsia" w:hAnsiTheme="minorEastAsia" w:eastAsiaTheme="minorEastAsia" w:cstheme="minorEastAsia"/>
                              <w:sz w:val="28"/>
                              <w:szCs w:val="44"/>
                            </w:rPr>
                          </w:pP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hint="eastAsia" w:asciiTheme="minorEastAsia" w:hAnsiTheme="minorEastAsia" w:eastAsiaTheme="minorEastAsia" w:cstheme="minorEastAsia"/>
                              <w:sz w:val="28"/>
                              <w:szCs w:val="44"/>
                            </w:rPr>
                            <w:t>1</w:t>
                          </w:r>
                          <w:r>
                            <w:rPr>
                              <w:rFonts w:hint="eastAsia" w:asciiTheme="minorEastAsia" w:hAnsiTheme="minorEastAsia" w:eastAsiaTheme="minorEastAsia" w:cstheme="minorEastAsia"/>
                              <w:sz w:val="28"/>
                              <w:szCs w:val="44"/>
                            </w:rP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OqXm5zwAAAAUBAAAP&#10;AAAAAAAAAAEAIAAAADgAAABkcnMvZG93bnJldi54bWxQSwECFAAUAAAACACHTuJA9vPBLtIBAACE&#10;AwAADgAAAAAAAAABACAAAAA0AQAAZHJzL2Uyb0RvYy54bWxQSwUGAAAAAAYABgBZAQAAeAUAAAAA&#10;">
              <v:fill on="f" focussize="0,0"/>
              <v:stroke on="f"/>
              <v:imagedata o:title=""/>
              <o:lock v:ext="edit" aspectratio="f"/>
              <v:textbox inset="0mm,0mm,0mm,0mm" style="mso-fit-shape-to-text:t;">
                <w:txbxContent>
                  <w:p>
                    <w:pPr>
                      <w:pStyle w:val="5"/>
                      <w:rPr>
                        <w:rFonts w:hint="eastAsia" w:asciiTheme="minorEastAsia" w:hAnsiTheme="minorEastAsia" w:eastAsiaTheme="minorEastAsia" w:cstheme="minorEastAsia"/>
                        <w:sz w:val="28"/>
                        <w:szCs w:val="44"/>
                      </w:rPr>
                    </w:pPr>
                    <w:r>
                      <w:rPr>
                        <w:rFonts w:hint="eastAsia" w:asciiTheme="minorEastAsia" w:hAnsiTheme="minorEastAsia" w:eastAsiaTheme="minorEastAsia" w:cstheme="minorEastAsia"/>
                        <w:sz w:val="28"/>
                        <w:szCs w:val="44"/>
                      </w:rPr>
                      <w:fldChar w:fldCharType="begin"/>
                    </w:r>
                    <w:r>
                      <w:rPr>
                        <w:rFonts w:hint="eastAsia" w:asciiTheme="minorEastAsia" w:hAnsiTheme="minorEastAsia" w:eastAsiaTheme="minorEastAsia" w:cstheme="minorEastAsia"/>
                        <w:sz w:val="28"/>
                        <w:szCs w:val="44"/>
                      </w:rPr>
                      <w:instrText xml:space="preserve"> PAGE  \* MERGEFORMAT </w:instrText>
                    </w:r>
                    <w:r>
                      <w:rPr>
                        <w:rFonts w:hint="eastAsia" w:asciiTheme="minorEastAsia" w:hAnsiTheme="minorEastAsia" w:eastAsiaTheme="minorEastAsia" w:cstheme="minorEastAsia"/>
                        <w:sz w:val="28"/>
                        <w:szCs w:val="44"/>
                      </w:rPr>
                      <w:fldChar w:fldCharType="separate"/>
                    </w:r>
                    <w:r>
                      <w:rPr>
                        <w:rFonts w:hint="eastAsia" w:asciiTheme="minorEastAsia" w:hAnsiTheme="minorEastAsia" w:eastAsiaTheme="minorEastAsia" w:cstheme="minorEastAsia"/>
                        <w:sz w:val="28"/>
                        <w:szCs w:val="44"/>
                      </w:rPr>
                      <w:t>1</w:t>
                    </w:r>
                    <w:r>
                      <w:rPr>
                        <w:rFonts w:hint="eastAsia" w:asciiTheme="minorEastAsia" w:hAnsiTheme="minorEastAsia" w:eastAsiaTheme="minorEastAsia" w:cstheme="minorEastAsia"/>
                        <w:sz w:val="28"/>
                        <w:szCs w:val="4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480"/>
      </w:pPr>
      <w:r>
        <w:separator/>
      </w:r>
    </w:p>
  </w:footnote>
  <w:footnote w:type="continuationSeparator" w:id="1">
    <w:p>
      <w:pPr>
        <w:spacing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4ZmMyZDM3YmM1NWEwYmRjMjY3ZTQ0ZTZjOWEwMzkifQ=="/>
  </w:docVars>
  <w:rsids>
    <w:rsidRoot w:val="438A67D8"/>
    <w:rsid w:val="1E5E623C"/>
    <w:rsid w:val="2C331E12"/>
    <w:rsid w:val="2F6F2177"/>
    <w:rsid w:val="438A67D8"/>
    <w:rsid w:val="4E653AB4"/>
    <w:rsid w:val="517332EC"/>
    <w:rsid w:val="6FAB29FD"/>
    <w:rsid w:val="7DA34CD2"/>
    <w:rsid w:val="7F7F2D90"/>
    <w:rsid w:val="7FFF50CE"/>
    <w:rsid w:val="AF7FDB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line="360" w:lineRule="auto"/>
      <w:ind w:firstLine="200" w:firstLineChars="200"/>
      <w:jc w:val="both"/>
    </w:pPr>
    <w:rPr>
      <w:rFonts w:ascii="Times New Roman" w:hAnsi="Times New Roman" w:eastAsia="宋体" w:cs="Times New Roman"/>
      <w:kern w:val="2"/>
      <w:sz w:val="24"/>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widowControl/>
      <w:snapToGrid w:val="0"/>
      <w:spacing w:before="60" w:after="160" w:line="259" w:lineRule="auto"/>
      <w:ind w:right="113"/>
    </w:pPr>
    <w:rPr>
      <w:kern w:val="0"/>
      <w:sz w:val="18"/>
      <w:szCs w:val="20"/>
    </w:rPr>
  </w:style>
  <w:style w:type="paragraph" w:styleId="3">
    <w:name w:val="Plain Text"/>
    <w:basedOn w:val="1"/>
    <w:qFormat/>
    <w:uiPriority w:val="0"/>
    <w:rPr>
      <w:rFonts w:ascii="宋体" w:hAnsi="Courier New"/>
    </w:rPr>
  </w:style>
  <w:style w:type="paragraph" w:styleId="4">
    <w:name w:val="Body Text Indent 2"/>
    <w:basedOn w:val="1"/>
    <w:link w:val="11"/>
    <w:unhideWhenUsed/>
    <w:qFormat/>
    <w:uiPriority w:val="0"/>
    <w:pPr>
      <w:spacing w:after="120" w:line="480" w:lineRule="auto"/>
      <w:ind w:left="420" w:leftChars="200"/>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8">
    <w:name w:val="Table Grid"/>
    <w:basedOn w:val="7"/>
    <w:unhideWhenUsed/>
    <w:qFormat/>
    <w:uiPriority w:val="99"/>
    <w:pPr>
      <w:widowControl w:val="0"/>
      <w:jc w:val="both"/>
    </w:pPr>
    <w:rPr>
      <w:rFonts w:ascii="Times New Roman" w:hAnsi="Times New Roman" w:eastAsia="Times New Roman"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0">
    <w:name w:val="ky正文 字符"/>
    <w:basedOn w:val="11"/>
    <w:qFormat/>
    <w:uiPriority w:val="0"/>
    <w:rPr>
      <w:rFonts w:ascii="Times New Roman" w:hAnsi="Times New Roman" w:eastAsia="宋体" w:cs="Times New Roman"/>
      <w:kern w:val="2"/>
      <w:sz w:val="24"/>
      <w:szCs w:val="24"/>
    </w:rPr>
  </w:style>
  <w:style w:type="character" w:customStyle="1" w:styleId="11">
    <w:name w:val="正文文本缩进 2 字符"/>
    <w:basedOn w:val="9"/>
    <w:link w:val="4"/>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2023-11-27T02:00:00Z</dcterms:created>
  <dc:creator>子非鱼</dc:creator>
  <cp:lastModifiedBy>kylin</cp:lastModifiedBy>
  <cp:lastPrinted>2023-12-27T09:27:03Z</cp:lastPrinted>
  <dcterms:modified xsi:type="dcterms:W3CDTF">2023-12-27T09:33:10Z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44289CE15CD0422A860996DC8DB75B61_13</vt:lpwstr>
  </property>
</Properties>
</file>