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eastAsia" w:ascii="方正小标宋_GBK" w:hAnsi="方正小标宋_GBK" w:eastAsia="方正小标宋_GBK" w:cs="方正小标宋_GBK"/>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eastAsia" w:ascii="方正小标宋_GBK" w:hAnsi="方正小标宋_GBK" w:eastAsia="方正小标宋_GBK" w:cs="方正小标宋_GBK"/>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distribute"/>
        <w:textAlignment w:val="auto"/>
        <w:rPr>
          <w:rFonts w:hint="eastAsia" w:ascii="方正小标宋_GBK" w:hAnsi="方正小标宋_GBK" w:eastAsia="方正小标宋_GBK" w:cs="方正小标宋_GBK"/>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distribute"/>
        <w:textAlignment w:val="auto"/>
        <w:rPr>
          <w:rFonts w:hint="eastAsia" w:ascii="方正小标宋_GBK" w:hAnsi="方正小标宋_GBK" w:eastAsia="方正小标宋_GBK" w:cs="方正小标宋_GBK"/>
          <w:b/>
          <w:bCs/>
          <w:color w:val="FF0000"/>
          <w:sz w:val="32"/>
          <w:szCs w:val="32"/>
        </w:rPr>
      </w:pPr>
      <w:r>
        <w:rPr>
          <w:rFonts w:hint="eastAsia" w:ascii="方正小标宋_GBK" w:hAnsi="方正小标宋_GBK" w:eastAsia="方正小标宋_GBK" w:cs="方正小标宋_GBK"/>
          <w:b/>
          <w:bCs/>
          <w:color w:val="FF0000"/>
          <w:w w:val="90"/>
          <w:kern w:val="16"/>
          <w:sz w:val="84"/>
          <w:szCs w:val="84"/>
        </w:rPr>
        <w:t>临沧市生态环境局文件</w:t>
      </w:r>
    </w:p>
    <w:p>
      <w:pPr>
        <w:spacing w:line="0" w:lineRule="atLeast"/>
        <w:ind w:firstLine="1600" w:firstLineChars="800"/>
        <w:jc w:val="both"/>
        <w:rPr>
          <w:rFonts w:hint="eastAsia" w:ascii="仿宋_GB2312" w:hAnsi="仿宋_GB2312" w:eastAsia="仿宋_GB2312" w:cs="仿宋_GB2312"/>
          <w:sz w:val="20"/>
          <w:szCs w:val="20"/>
        </w:rPr>
      </w:pPr>
    </w:p>
    <w:p>
      <w:pPr>
        <w:spacing w:line="0" w:lineRule="atLeast"/>
        <w:ind w:firstLine="200"/>
        <w:jc w:val="center"/>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临环审〔202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186</w:t>
      </w:r>
      <w:r>
        <w:rPr>
          <w:rFonts w:hint="eastAsia" w:ascii="仿宋_GB2312" w:hAnsi="仿宋_GB2312" w:eastAsia="仿宋_GB2312" w:cs="仿宋_GB2312"/>
          <w:sz w:val="32"/>
          <w:szCs w:val="32"/>
          <w:highlight w:val="none"/>
        </w:rPr>
        <w:t>号</w:t>
      </w:r>
    </w:p>
    <w:p>
      <w:pPr>
        <w:spacing w:line="0" w:lineRule="atLeast"/>
        <w:ind w:firstLine="200"/>
        <w:jc w:val="center"/>
        <w:rPr>
          <w:rFonts w:hint="eastAsia" w:ascii="仿宋_GB2312" w:hAnsi="仿宋_GB2312" w:eastAsia="仿宋_GB2312" w:cs="仿宋_GB2312"/>
          <w:sz w:val="32"/>
          <w:szCs w:val="32"/>
        </w:rPr>
      </w:pPr>
      <w:r>
        <w:rPr>
          <w:rFonts w:hint="eastAsia" w:ascii="仿宋_GB2312" w:hAnsi="仿宋_GB2312" w:eastAsia="仿宋_GB2312" w:cs="仿宋_GB2312"/>
          <w:sz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116205</wp:posOffset>
                </wp:positionV>
                <wp:extent cx="57150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thickThin">
                          <a:solidFill>
                            <a:srgbClr val="FF0000"/>
                          </a:solidFill>
                          <a:prstDash val="solid"/>
                          <a:round/>
                          <a:headEnd type="none" w="med" len="med"/>
                          <a:tailEnd type="none" w="med" len="med"/>
                        </a:ln>
                        <a:effectLst/>
                      </wps:spPr>
                      <wps:bodyPr upright="true"/>
                    </wps:wsp>
                  </a:graphicData>
                </a:graphic>
              </wp:anchor>
            </w:drawing>
          </mc:Choice>
          <mc:Fallback>
            <w:pict>
              <v:line id="_x0000_s1026" o:spid="_x0000_s1026" o:spt="20" style="position:absolute;left:0pt;margin-left:1.5pt;margin-top:9.15pt;height:0pt;width:450pt;z-index:251660288;mso-width-relative:page;mso-height-relative:page;" filled="f" stroked="t" coordsize="21600,21600" o:gfxdata="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Xk/k00gAAAAcBAAAPAAAAAAAAAAEAIAAAADgAAABkcnMvZG93bnJl&#10;di54bWxQSwECFAAUAAAACACHTuJA+DhheO0BAAC4AwAADgAAAAAAAAABACAAAAA3AQAAZHJzL2Uy&#10;b0RvYy54bWxQSwUGAAAAAAYABgBZAQAAlgUAAAAA&#10;">
                <v:fill on="f" focussize="0,0"/>
                <v:stroke weight="2.2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0" w:lineRule="atLeast"/>
        <w:ind w:firstLine="20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sz w:val="44"/>
          <w:szCs w:val="44"/>
          <w:lang w:val="en-US"/>
        </w:rPr>
      </w:pPr>
      <w:r>
        <w:rPr>
          <w:rFonts w:hint="eastAsia" w:ascii="方正小标宋_GBK" w:hAnsi="方正小标宋_GBK" w:eastAsia="方正小标宋_GBK" w:cs="方正小标宋_GBK"/>
          <w:b/>
          <w:bCs/>
          <w:sz w:val="44"/>
          <w:szCs w:val="44"/>
        </w:rPr>
        <w:t>临沧市生态环境局关于</w:t>
      </w:r>
      <w:r>
        <w:rPr>
          <w:rFonts w:hint="eastAsia" w:ascii="方正小标宋_GBK" w:hAnsi="方正小标宋_GBK" w:eastAsia="方正小标宋_GBK" w:cs="方正小标宋_GBK"/>
          <w:b/>
          <w:bCs/>
          <w:sz w:val="44"/>
          <w:szCs w:val="44"/>
          <w:lang w:val="en-US"/>
        </w:rPr>
        <w:t>沧源嘉里边民互市</w:t>
      </w: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sz w:val="44"/>
          <w:szCs w:val="44"/>
          <w:lang w:val="en-US"/>
        </w:rPr>
      </w:pPr>
      <w:r>
        <w:rPr>
          <w:rFonts w:hint="eastAsia" w:ascii="方正小标宋_GBK" w:hAnsi="方正小标宋_GBK" w:eastAsia="方正小标宋_GBK" w:cs="方正小标宋_GBK"/>
          <w:b/>
          <w:bCs/>
          <w:sz w:val="44"/>
          <w:szCs w:val="44"/>
          <w:lang w:val="en-US"/>
        </w:rPr>
        <w:t>生物（魔芋）制品落地加工项目</w:t>
      </w: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color w:val="000000"/>
          <w:sz w:val="44"/>
          <w:szCs w:val="44"/>
        </w:rPr>
      </w:pPr>
      <w:r>
        <w:rPr>
          <w:rFonts w:hint="eastAsia" w:ascii="方正小标宋_GBK" w:hAnsi="方正小标宋_GBK" w:eastAsia="方正小标宋_GBK" w:cs="方正小标宋_GBK"/>
          <w:b/>
          <w:bCs/>
          <w:color w:val="000000"/>
          <w:sz w:val="44"/>
          <w:szCs w:val="44"/>
        </w:rPr>
        <w:t>环境影响报告表的批复</w:t>
      </w:r>
    </w:p>
    <w:p>
      <w:pPr>
        <w:keepNext w:val="0"/>
        <w:keepLines w:val="0"/>
        <w:pageBreakBefore w:val="0"/>
        <w:widowControl w:val="0"/>
        <w:kinsoku/>
        <w:wordWrap/>
        <w:overflowPunct/>
        <w:topLinePunct w:val="0"/>
        <w:autoSpaceDE/>
        <w:autoSpaceDN/>
        <w:bidi w:val="0"/>
        <w:spacing w:line="0" w:lineRule="atLeast"/>
        <w:ind w:left="0" w:leftChars="0" w:firstLine="0" w:firstLineChars="0"/>
        <w:jc w:val="left"/>
        <w:textAlignment w:val="auto"/>
        <w:rPr>
          <w:rFonts w:hint="eastAsia" w:ascii="仿宋_GB2312" w:hAnsi="仿宋_GB2312" w:eastAsia="仿宋_GB2312" w:cs="仿宋_GB2312"/>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spacing w:line="560" w:lineRule="exact"/>
        <w:ind w:left="0" w:leftChars="0" w:firstLine="0" w:firstLineChars="0"/>
        <w:jc w:val="left"/>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沧源县嘉里生物科技有限公司：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你</w:t>
      </w:r>
      <w:r>
        <w:rPr>
          <w:rFonts w:hint="eastAsia" w:ascii="仿宋_GB2312" w:hAnsi="仿宋_GB2312" w:eastAsia="仿宋_GB2312" w:cs="仿宋_GB2312"/>
          <w:sz w:val="32"/>
          <w:szCs w:val="32"/>
          <w:highlight w:val="none"/>
          <w:lang w:eastAsia="zh-CN"/>
        </w:rPr>
        <w:t>公司</w:t>
      </w:r>
      <w:r>
        <w:rPr>
          <w:rFonts w:hint="eastAsia" w:ascii="仿宋_GB2312" w:hAnsi="仿宋_GB2312" w:eastAsia="仿宋_GB2312" w:cs="仿宋_GB2312"/>
          <w:sz w:val="32"/>
          <w:szCs w:val="32"/>
          <w:highlight w:val="none"/>
        </w:rPr>
        <w:t>申请报批的《</w:t>
      </w:r>
      <w:r>
        <w:rPr>
          <w:rFonts w:hint="eastAsia" w:ascii="仿宋_GB2312" w:hAnsi="仿宋_GB2312" w:eastAsia="仿宋_GB2312" w:cs="仿宋_GB2312"/>
          <w:sz w:val="32"/>
          <w:szCs w:val="32"/>
          <w:highlight w:val="none"/>
          <w:lang w:val="en-US"/>
        </w:rPr>
        <w:t>沧源嘉里边民互市生物（魔芋）制品落地加工项目</w:t>
      </w:r>
      <w:r>
        <w:rPr>
          <w:rFonts w:hint="eastAsia" w:ascii="仿宋_GB2312" w:hAnsi="仿宋_GB2312" w:eastAsia="仿宋_GB2312" w:cs="仿宋_GB2312"/>
          <w:sz w:val="32"/>
          <w:szCs w:val="32"/>
          <w:highlight w:val="none"/>
          <w:lang w:eastAsia="zh-CN"/>
        </w:rPr>
        <w:t>环</w:t>
      </w:r>
      <w:r>
        <w:rPr>
          <w:rFonts w:hint="eastAsia" w:ascii="仿宋_GB2312" w:hAnsi="仿宋_GB2312" w:eastAsia="仿宋_GB2312" w:cs="仿宋_GB2312"/>
          <w:sz w:val="32"/>
          <w:szCs w:val="32"/>
          <w:highlight w:val="none"/>
        </w:rPr>
        <w:t>境影响报告表》（以下简称《报告表》）收悉。</w:t>
      </w:r>
      <w:r>
        <w:rPr>
          <w:rFonts w:hint="eastAsia" w:ascii="仿宋_GB2312" w:hAnsi="仿宋_GB2312" w:eastAsia="仿宋_GB2312" w:cs="仿宋_GB2312"/>
          <w:sz w:val="32"/>
          <w:szCs w:val="32"/>
          <w:highlight w:val="none"/>
          <w:lang w:val="en-US" w:eastAsia="zh-CN"/>
        </w:rPr>
        <w:t>现</w:t>
      </w:r>
      <w:r>
        <w:rPr>
          <w:rFonts w:hint="eastAsia" w:ascii="仿宋_GB2312" w:hAnsi="仿宋_GB2312" w:eastAsia="仿宋_GB2312" w:cs="仿宋_GB2312"/>
          <w:sz w:val="32"/>
          <w:szCs w:val="32"/>
          <w:highlight w:val="none"/>
        </w:rPr>
        <w:t>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一、项目基本信息</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项目位于</w:t>
      </w:r>
      <w:r>
        <w:rPr>
          <w:rFonts w:hint="default" w:ascii="Times New Roman" w:hAnsi="Times New Roman" w:eastAsia="仿宋_GB2312" w:cs="Times New Roman"/>
          <w:color w:val="auto"/>
          <w:kern w:val="0"/>
          <w:sz w:val="32"/>
          <w:szCs w:val="32"/>
          <w:highlight w:val="none"/>
          <w:lang w:val="en-US" w:eastAsia="zh-CN"/>
        </w:rPr>
        <w:t>沧源</w:t>
      </w:r>
      <w:r>
        <w:rPr>
          <w:rFonts w:hint="eastAsia" w:eastAsia="仿宋_GB2312" w:cs="Times New Roman"/>
          <w:color w:val="auto"/>
          <w:kern w:val="0"/>
          <w:sz w:val="32"/>
          <w:szCs w:val="32"/>
          <w:highlight w:val="none"/>
          <w:lang w:val="en-US" w:eastAsia="zh-CN"/>
        </w:rPr>
        <w:t>自治</w:t>
      </w:r>
      <w:r>
        <w:rPr>
          <w:rFonts w:hint="default" w:ascii="Times New Roman" w:hAnsi="Times New Roman" w:eastAsia="仿宋_GB2312" w:cs="Times New Roman"/>
          <w:color w:val="auto"/>
          <w:kern w:val="0"/>
          <w:sz w:val="32"/>
          <w:szCs w:val="32"/>
          <w:highlight w:val="none"/>
          <w:lang w:val="en-US" w:eastAsia="zh-CN"/>
        </w:rPr>
        <w:t>县勐董镇白塔社区司岗里大道92号</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val="en-US" w:eastAsia="zh-CN"/>
        </w:rPr>
        <w:t>中心</w:t>
      </w:r>
      <w:r>
        <w:rPr>
          <w:rFonts w:hint="eastAsia" w:eastAsia="仿宋_GB2312" w:cs="Times New Roman"/>
          <w:color w:val="auto"/>
          <w:kern w:val="0"/>
          <w:sz w:val="32"/>
          <w:szCs w:val="32"/>
          <w:highlight w:val="none"/>
          <w:lang w:val="en-US" w:eastAsia="zh-CN"/>
        </w:rPr>
        <w:t>地理</w:t>
      </w:r>
      <w:r>
        <w:rPr>
          <w:rFonts w:hint="default" w:ascii="Times New Roman" w:hAnsi="Times New Roman" w:eastAsia="仿宋_GB2312" w:cs="Times New Roman"/>
          <w:color w:val="auto"/>
          <w:kern w:val="0"/>
          <w:sz w:val="32"/>
          <w:szCs w:val="32"/>
          <w:highlight w:val="none"/>
          <w:lang w:val="en-US" w:eastAsia="zh-CN"/>
        </w:rPr>
        <w:t>坐标为东经99°16′20.309″，北纬23°11′3.207″。</w:t>
      </w:r>
      <w:r>
        <w:rPr>
          <w:rFonts w:hint="default" w:ascii="Times New Roman" w:hAnsi="Times New Roman" w:eastAsia="仿宋_GB2312" w:cs="Times New Roman"/>
          <w:color w:val="auto"/>
          <w:kern w:val="0"/>
          <w:sz w:val="32"/>
          <w:szCs w:val="32"/>
          <w:highlight w:val="none"/>
        </w:rPr>
        <w:t>项目占地面积为</w:t>
      </w:r>
      <w:r>
        <w:rPr>
          <w:rFonts w:hint="eastAsia" w:eastAsia="仿宋_GB2312" w:cs="Times New Roman"/>
          <w:color w:val="auto"/>
          <w:kern w:val="0"/>
          <w:sz w:val="32"/>
          <w:szCs w:val="32"/>
          <w:highlight w:val="none"/>
          <w:lang w:val="en-US" w:eastAsia="zh-CN"/>
        </w:rPr>
        <w:t>2203</w:t>
      </w:r>
      <w:r>
        <w:rPr>
          <w:rFonts w:hint="default" w:ascii="Times New Roman" w:hAnsi="Times New Roman" w:eastAsia="仿宋_GB2312" w:cs="Times New Roman"/>
          <w:color w:val="auto"/>
          <w:kern w:val="0"/>
          <w:sz w:val="32"/>
          <w:szCs w:val="32"/>
          <w:highlight w:val="none"/>
          <w:lang w:val="en-US" w:eastAsia="zh-CN"/>
        </w:rPr>
        <w:t xml:space="preserve"> </w:t>
      </w:r>
      <w:r>
        <w:rPr>
          <w:rFonts w:hint="default" w:ascii="Times New Roman" w:hAnsi="Times New Roman" w:eastAsia="仿宋_GB2312" w:cs="Times New Roman"/>
          <w:color w:val="auto"/>
          <w:kern w:val="0"/>
          <w:sz w:val="32"/>
          <w:szCs w:val="32"/>
          <w:highlight w:val="none"/>
        </w:rPr>
        <w:t>m</w:t>
      </w:r>
      <w:r>
        <w:rPr>
          <w:rFonts w:hint="default" w:ascii="Times New Roman" w:hAnsi="Times New Roman" w:eastAsia="仿宋_GB2312" w:cs="Times New Roman"/>
          <w:color w:val="auto"/>
          <w:kern w:val="0"/>
          <w:sz w:val="32"/>
          <w:szCs w:val="32"/>
          <w:highlight w:val="none"/>
          <w:vertAlign w:val="superscript"/>
        </w:rPr>
        <w:t>2</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eastAsia="zh-CN"/>
        </w:rPr>
        <w:t>建筑</w:t>
      </w:r>
      <w:r>
        <w:rPr>
          <w:rFonts w:hint="default" w:ascii="Times New Roman" w:hAnsi="Times New Roman" w:eastAsia="仿宋_GB2312" w:cs="Times New Roman"/>
          <w:color w:val="auto"/>
          <w:kern w:val="0"/>
          <w:sz w:val="32"/>
          <w:szCs w:val="32"/>
          <w:highlight w:val="none"/>
        </w:rPr>
        <w:t>面积为</w:t>
      </w:r>
      <w:r>
        <w:rPr>
          <w:rFonts w:hint="eastAsia" w:eastAsia="仿宋_GB2312" w:cs="Times New Roman"/>
          <w:color w:val="auto"/>
          <w:kern w:val="0"/>
          <w:sz w:val="32"/>
          <w:szCs w:val="32"/>
          <w:highlight w:val="none"/>
          <w:lang w:val="en-US" w:eastAsia="zh-CN"/>
        </w:rPr>
        <w:t>2103</w:t>
      </w:r>
      <w:r>
        <w:rPr>
          <w:rFonts w:hint="default" w:ascii="Times New Roman" w:hAnsi="Times New Roman" w:eastAsia="仿宋_GB2312" w:cs="Times New Roman"/>
          <w:color w:val="auto"/>
          <w:kern w:val="0"/>
          <w:sz w:val="32"/>
          <w:szCs w:val="32"/>
          <w:highlight w:val="none"/>
        </w:rPr>
        <w:t>m</w:t>
      </w:r>
      <w:r>
        <w:rPr>
          <w:rFonts w:hint="default" w:ascii="Times New Roman" w:hAnsi="Times New Roman" w:eastAsia="仿宋_GB2312" w:cs="Times New Roman"/>
          <w:color w:val="auto"/>
          <w:kern w:val="0"/>
          <w:sz w:val="32"/>
          <w:szCs w:val="32"/>
          <w:highlight w:val="none"/>
          <w:vertAlign w:val="superscript"/>
        </w:rPr>
        <w:t>2</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项目</w:t>
      </w:r>
      <w:r>
        <w:rPr>
          <w:rFonts w:hint="default" w:ascii="Times New Roman" w:hAnsi="Times New Roman" w:eastAsia="仿宋_GB2312" w:cs="Times New Roman"/>
          <w:color w:val="auto"/>
          <w:kern w:val="0"/>
          <w:sz w:val="32"/>
          <w:szCs w:val="32"/>
          <w:highlight w:val="none"/>
          <w:lang w:eastAsia="zh-CN"/>
        </w:rPr>
        <w:t>建设魔芋干片生产线一条，建成后生产魔芋干片</w:t>
      </w:r>
      <w:r>
        <w:rPr>
          <w:rFonts w:hint="default" w:ascii="Times New Roman" w:hAnsi="Times New Roman" w:eastAsia="仿宋_GB2312" w:cs="Times New Roman"/>
          <w:color w:val="auto"/>
          <w:kern w:val="0"/>
          <w:sz w:val="32"/>
          <w:szCs w:val="32"/>
          <w:highlight w:val="none"/>
          <w:lang w:val="en-US" w:eastAsia="zh-CN"/>
        </w:rPr>
        <w:t>900</w:t>
      </w:r>
      <w:r>
        <w:rPr>
          <w:rFonts w:hint="default" w:ascii="Times New Roman" w:hAnsi="Times New Roman" w:eastAsia="仿宋_GB2312" w:cs="Times New Roman"/>
          <w:color w:val="auto"/>
          <w:kern w:val="0"/>
          <w:sz w:val="32"/>
          <w:szCs w:val="32"/>
          <w:highlight w:val="none"/>
          <w:lang w:eastAsia="zh-CN"/>
        </w:rPr>
        <w:t>t</w:t>
      </w:r>
      <w:r>
        <w:rPr>
          <w:rFonts w:hint="default" w:ascii="Times New Roman" w:hAnsi="Times New Roman" w:eastAsia="仿宋_GB2312" w:cs="Times New Roman"/>
          <w:color w:val="auto"/>
          <w:kern w:val="0"/>
          <w:sz w:val="32"/>
          <w:szCs w:val="32"/>
          <w:highlight w:val="none"/>
          <w:lang w:val="en-US" w:eastAsia="zh-CN"/>
        </w:rPr>
        <w:t>/a。</w:t>
      </w:r>
      <w:r>
        <w:rPr>
          <w:rFonts w:hint="default" w:ascii="Times New Roman" w:hAnsi="Times New Roman" w:eastAsia="仿宋_GB2312" w:cs="Times New Roman"/>
          <w:color w:val="auto"/>
          <w:kern w:val="0"/>
          <w:sz w:val="32"/>
          <w:szCs w:val="32"/>
          <w:highlight w:val="none"/>
        </w:rPr>
        <w:t>本项目的总投资约为</w:t>
      </w:r>
      <w:r>
        <w:rPr>
          <w:rFonts w:hint="default" w:ascii="Times New Roman" w:hAnsi="Times New Roman" w:eastAsia="仿宋_GB2312" w:cs="Times New Roman"/>
          <w:color w:val="auto"/>
          <w:kern w:val="0"/>
          <w:sz w:val="32"/>
          <w:szCs w:val="32"/>
          <w:highlight w:val="none"/>
          <w:lang w:val="en-US" w:eastAsia="zh-CN"/>
        </w:rPr>
        <w:t>878.36</w:t>
      </w:r>
      <w:r>
        <w:rPr>
          <w:rFonts w:hint="default" w:ascii="Times New Roman" w:hAnsi="Times New Roman" w:eastAsia="仿宋_GB2312" w:cs="Times New Roman"/>
          <w:color w:val="auto"/>
          <w:kern w:val="0"/>
          <w:sz w:val="32"/>
          <w:szCs w:val="32"/>
          <w:highlight w:val="none"/>
        </w:rPr>
        <w:t>万，其中环保投资约为</w:t>
      </w:r>
      <w:r>
        <w:rPr>
          <w:rFonts w:hint="eastAsia" w:eastAsia="仿宋_GB2312" w:cs="Times New Roman"/>
          <w:color w:val="auto"/>
          <w:kern w:val="0"/>
          <w:sz w:val="32"/>
          <w:szCs w:val="32"/>
          <w:highlight w:val="none"/>
          <w:lang w:val="en-US" w:eastAsia="zh-CN"/>
        </w:rPr>
        <w:t>17.4</w:t>
      </w:r>
      <w:r>
        <w:rPr>
          <w:rFonts w:hint="default" w:ascii="Times New Roman" w:hAnsi="Times New Roman" w:eastAsia="仿宋_GB2312" w:cs="Times New Roman"/>
          <w:color w:val="auto"/>
          <w:kern w:val="0"/>
          <w:sz w:val="32"/>
          <w:szCs w:val="32"/>
          <w:highlight w:val="none"/>
        </w:rPr>
        <w:t>万元，占项目总投资额的</w:t>
      </w:r>
      <w:r>
        <w:rPr>
          <w:rFonts w:hint="eastAsia" w:eastAsia="仿宋_GB2312" w:cs="Times New Roman"/>
          <w:color w:val="auto"/>
          <w:kern w:val="0"/>
          <w:sz w:val="32"/>
          <w:szCs w:val="32"/>
          <w:highlight w:val="none"/>
          <w:lang w:val="en-US" w:eastAsia="zh-CN"/>
        </w:rPr>
        <w:t>1.98</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该《报告表》可作为该项目环境保护设计、建设、验收和运行环境管理的依据。项目建设符合国家及云南省对建设项目环境影响评价文件审批的有关规定，不存在工程建设的重大环境制约因素，</w:t>
      </w:r>
      <w:r>
        <w:rPr>
          <w:rFonts w:hint="eastAsia" w:ascii="仿宋_GB2312" w:hAnsi="仿宋_GB2312" w:eastAsia="仿宋_GB2312" w:cs="仿宋_GB2312"/>
          <w:color w:val="auto"/>
          <w:sz w:val="32"/>
          <w:szCs w:val="32"/>
          <w:highlight w:val="none"/>
          <w:lang w:eastAsia="zh-CN"/>
        </w:rPr>
        <w:t>市生态环境局</w:t>
      </w:r>
      <w:r>
        <w:rPr>
          <w:rFonts w:hint="eastAsia" w:ascii="仿宋_GB2312" w:hAnsi="仿宋_GB2312" w:eastAsia="仿宋_GB2312" w:cs="仿宋_GB2312"/>
          <w:color w:val="auto"/>
          <w:sz w:val="32"/>
          <w:szCs w:val="32"/>
          <w:highlight w:val="none"/>
        </w:rPr>
        <w:t>同意按照《报告表》所述的环境保护对策措施方案建设。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二、项目建设和生产过程中应当做好的工作</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pacing w:val="0"/>
          <w:sz w:val="32"/>
          <w:szCs w:val="32"/>
          <w:highlight w:val="none"/>
          <w:lang w:eastAsia="zh-CN"/>
        </w:rPr>
        <w:t>请</w:t>
      </w:r>
      <w:r>
        <w:rPr>
          <w:rFonts w:hint="eastAsia" w:ascii="仿宋_GB2312" w:hAnsi="仿宋_GB2312" w:eastAsia="仿宋_GB2312" w:cs="仿宋_GB2312"/>
          <w:color w:val="auto"/>
          <w:spacing w:val="0"/>
          <w:sz w:val="32"/>
          <w:szCs w:val="32"/>
          <w:highlight w:val="none"/>
          <w:lang w:val="en-US" w:eastAsia="zh-CN"/>
        </w:rPr>
        <w:t>你公司</w:t>
      </w:r>
      <w:r>
        <w:rPr>
          <w:rFonts w:hint="eastAsia" w:ascii="仿宋_GB2312" w:hAnsi="仿宋_GB2312" w:eastAsia="仿宋_GB2312" w:cs="仿宋_GB2312"/>
          <w:color w:val="auto"/>
          <w:spacing w:val="0"/>
          <w:sz w:val="32"/>
          <w:szCs w:val="32"/>
          <w:highlight w:val="none"/>
          <w:lang w:eastAsia="zh-CN"/>
        </w:rPr>
        <w:t>严格对照《报告表》提出的各项污染防治措施及要求落实。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项目建设必须严格执行配套建设的环境保护设施与主体工程同时设计、同时施工、同时投产使用的环境保护“三同时”制度。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项目环境影响评价文件经批准后，如工程的性质、规模、工艺、地点或者防治污染、防止生态破坏的措施发生重大变动的，建设公司应当重新报批环境影响评价文件，否则不得实施建设。自环评批复文件批准之日起，如工程超过</w:t>
      </w:r>
      <w:r>
        <w:rPr>
          <w:rFonts w:hint="default" w:ascii="Times New Roman" w:hAnsi="Times New Roman" w:eastAsia="仿宋_GB2312" w:cs="Times New Roman"/>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年未开工建设，环境影响评价文件应当报临沧市生态环境局重新审核。</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仿宋_GB2312" w:hAnsi="仿宋_GB2312" w:eastAsia="仿宋_GB2312" w:cs="仿宋_GB2312"/>
          <w:kern w:val="0"/>
          <w:sz w:val="18"/>
          <w:szCs w:val="20"/>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（四）</w:t>
      </w:r>
      <w:r>
        <w:rPr>
          <w:rFonts w:hint="eastAsia" w:ascii="仿宋_GB2312" w:hAnsi="仿宋_GB2312" w:eastAsia="仿宋_GB2312" w:cs="仿宋_GB2312"/>
          <w:color w:val="auto"/>
          <w:spacing w:val="0"/>
          <w:kern w:val="0"/>
          <w:sz w:val="32"/>
          <w:szCs w:val="32"/>
          <w:highlight w:val="none"/>
          <w:lang w:val="en-US" w:eastAsia="zh-CN" w:bidi="ar-SA"/>
        </w:rPr>
        <w:t>请你公司</w:t>
      </w:r>
      <w:r>
        <w:rPr>
          <w:rFonts w:hint="eastAsia" w:ascii="仿宋_GB2312" w:hAnsi="仿宋_GB2312" w:eastAsia="仿宋_GB2312" w:cs="仿宋_GB2312"/>
          <w:color w:val="auto"/>
          <w:kern w:val="0"/>
          <w:sz w:val="32"/>
          <w:szCs w:val="32"/>
          <w:highlight w:val="none"/>
          <w:lang w:val="en-US" w:eastAsia="zh-CN" w:bidi="ar-SA"/>
        </w:rPr>
        <w:t>按照《突发环境事件应急预案管理暂行办法》的要求，强化环境风险管理，制定环境风险应急预案并报市生态环境局沧源分局备案；落实各项环境风险防范和应急处置设施（措施），做好日常环境应急演练和培训，开展环境监测，保障环境安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kern w:val="0"/>
          <w:sz w:val="32"/>
          <w:szCs w:val="32"/>
          <w:highlight w:val="none"/>
          <w:lang w:val="en-US" w:eastAsia="zh-CN" w:bidi="ar-SA"/>
        </w:rPr>
        <w:t>（五）</w:t>
      </w:r>
      <w:r>
        <w:rPr>
          <w:rFonts w:hint="eastAsia" w:ascii="仿宋_GB2312" w:hAnsi="仿宋_GB2312" w:eastAsia="仿宋_GB2312" w:cs="仿宋_GB2312"/>
          <w:color w:val="auto"/>
          <w:sz w:val="32"/>
          <w:szCs w:val="32"/>
          <w:highlight w:val="none"/>
          <w:lang w:val="en-US" w:eastAsia="zh-CN"/>
        </w:rPr>
        <w:t>项目竣工后，</w:t>
      </w:r>
      <w:r>
        <w:rPr>
          <w:rFonts w:hint="eastAsia" w:ascii="仿宋_GB2312" w:hAnsi="仿宋_GB2312" w:eastAsia="仿宋_GB2312" w:cs="仿宋_GB2312"/>
          <w:color w:val="auto"/>
          <w:spacing w:val="0"/>
          <w:sz w:val="32"/>
          <w:szCs w:val="32"/>
          <w:highlight w:val="none"/>
          <w:lang w:eastAsia="zh-CN"/>
        </w:rPr>
        <w:t>请</w:t>
      </w:r>
      <w:r>
        <w:rPr>
          <w:rFonts w:hint="eastAsia" w:ascii="仿宋_GB2312" w:hAnsi="仿宋_GB2312" w:eastAsia="仿宋_GB2312" w:cs="仿宋_GB2312"/>
          <w:color w:val="auto"/>
          <w:spacing w:val="0"/>
          <w:sz w:val="32"/>
          <w:szCs w:val="32"/>
          <w:highlight w:val="none"/>
          <w:lang w:val="en-US" w:eastAsia="zh-CN"/>
        </w:rPr>
        <w:t>你公司</w:t>
      </w:r>
      <w:r>
        <w:rPr>
          <w:rFonts w:hint="eastAsia" w:ascii="仿宋_GB2312" w:hAnsi="仿宋_GB2312" w:eastAsia="仿宋_GB2312" w:cs="仿宋_GB2312"/>
          <w:color w:val="auto"/>
          <w:sz w:val="32"/>
          <w:szCs w:val="32"/>
          <w:highlight w:val="none"/>
          <w:lang w:val="en-US" w:eastAsia="zh-CN"/>
        </w:rPr>
        <w:t>严格按照《建设项目竣工环境保护验收暂行办法》有关规定，组织对配套建设的环境保护设施进行验收，并将相关信息向社会公开，同时将上述信息报送市生态环境局沧源分局。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pacing w:val="0"/>
          <w:sz w:val="32"/>
          <w:szCs w:val="32"/>
          <w:highlight w:val="none"/>
          <w:lang w:eastAsia="zh-CN"/>
        </w:rPr>
        <w:t>请</w:t>
      </w:r>
      <w:r>
        <w:rPr>
          <w:rFonts w:hint="eastAsia" w:ascii="仿宋_GB2312" w:hAnsi="仿宋_GB2312" w:eastAsia="仿宋_GB2312" w:cs="仿宋_GB2312"/>
          <w:color w:val="auto"/>
          <w:spacing w:val="0"/>
          <w:sz w:val="32"/>
          <w:szCs w:val="32"/>
          <w:highlight w:val="none"/>
          <w:lang w:val="en-US" w:eastAsia="zh-CN"/>
        </w:rPr>
        <w:t>你</w:t>
      </w:r>
      <w:r>
        <w:rPr>
          <w:rFonts w:hint="eastAsia" w:ascii="仿宋_GB2312" w:hAnsi="仿宋_GB2312" w:eastAsia="仿宋_GB2312" w:cs="仿宋_GB2312"/>
          <w:color w:val="auto"/>
          <w:sz w:val="32"/>
          <w:szCs w:val="32"/>
          <w:highlight w:val="none"/>
          <w:lang w:eastAsia="zh-CN"/>
        </w:rPr>
        <w:t>公司</w:t>
      </w:r>
      <w:r>
        <w:rPr>
          <w:rFonts w:hint="eastAsia" w:ascii="仿宋_GB2312" w:hAnsi="仿宋_GB2312" w:eastAsia="仿宋_GB2312" w:cs="仿宋_GB2312"/>
          <w:color w:val="auto"/>
          <w:spacing w:val="0"/>
          <w:sz w:val="32"/>
          <w:szCs w:val="32"/>
          <w:highlight w:val="none"/>
          <w:lang w:val="en-US" w:eastAsia="zh-CN"/>
        </w:rPr>
        <w:t>在</w:t>
      </w:r>
      <w:r>
        <w:rPr>
          <w:rFonts w:hint="default" w:ascii="仿宋_GB2312" w:hAnsi="仿宋_GB2312" w:eastAsia="仿宋_GB2312" w:cs="仿宋_GB2312"/>
          <w:kern w:val="0"/>
          <w:sz w:val="32"/>
          <w:szCs w:val="32"/>
          <w:highlight w:val="none"/>
          <w:lang w:val="en-US" w:eastAsia="zh-CN" w:bidi="ar-SA"/>
        </w:rPr>
        <w:t>启动生产设施或者发生实际排污行为之前依法申请取得排污许可证</w:t>
      </w:r>
      <w:r>
        <w:rPr>
          <w:rFonts w:hint="eastAsia" w:ascii="仿宋_GB2312" w:hAnsi="仿宋_GB2312" w:eastAsia="仿宋_GB2312" w:cs="仿宋_GB2312"/>
          <w:kern w:val="0"/>
          <w:sz w:val="32"/>
          <w:szCs w:val="32"/>
          <w:highlight w:val="none"/>
          <w:lang w:val="en-US" w:eastAsia="zh-CN" w:bidi="ar-SA"/>
        </w:rPr>
        <w:t>，</w:t>
      </w:r>
      <w:r>
        <w:rPr>
          <w:rFonts w:hint="default" w:ascii="仿宋_GB2312" w:hAnsi="仿宋_GB2312" w:eastAsia="仿宋_GB2312" w:cs="仿宋_GB2312"/>
          <w:kern w:val="0"/>
          <w:sz w:val="32"/>
          <w:szCs w:val="32"/>
          <w:highlight w:val="none"/>
          <w:lang w:val="en-US" w:eastAsia="zh-CN" w:bidi="ar-SA"/>
        </w:rPr>
        <w:t>未取得排污许可证前</w:t>
      </w:r>
      <w:r>
        <w:rPr>
          <w:rFonts w:hint="eastAsia" w:ascii="仿宋_GB2312" w:hAnsi="仿宋_GB2312" w:eastAsia="仿宋_GB2312" w:cs="仿宋_GB2312"/>
          <w:kern w:val="0"/>
          <w:sz w:val="32"/>
          <w:szCs w:val="32"/>
          <w:highlight w:val="none"/>
          <w:lang w:val="en-US" w:eastAsia="zh-CN" w:bidi="ar-SA"/>
        </w:rPr>
        <w:t>，</w:t>
      </w:r>
      <w:r>
        <w:rPr>
          <w:rFonts w:hint="default" w:ascii="仿宋_GB2312" w:hAnsi="仿宋_GB2312" w:eastAsia="仿宋_GB2312" w:cs="仿宋_GB2312"/>
          <w:kern w:val="0"/>
          <w:sz w:val="32"/>
          <w:szCs w:val="32"/>
          <w:highlight w:val="none"/>
          <w:lang w:val="en-US" w:eastAsia="zh-CN" w:bidi="ar-SA"/>
        </w:rPr>
        <w:t>不得</w:t>
      </w:r>
      <w:r>
        <w:rPr>
          <w:rFonts w:hint="eastAsia" w:eastAsia="仿宋_GB2312" w:cs="Times New Roman"/>
          <w:color w:val="auto"/>
          <w:sz w:val="32"/>
          <w:szCs w:val="32"/>
          <w:highlight w:val="none"/>
          <w:lang w:val="en-US" w:eastAsia="zh-CN"/>
        </w:rPr>
        <w:t>排污</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（七）临沧市</w:t>
      </w:r>
      <w:r>
        <w:rPr>
          <w:rFonts w:hint="eastAsia" w:ascii="仿宋_GB2312" w:hAnsi="仿宋_GB2312" w:eastAsia="仿宋_GB2312" w:cs="仿宋_GB2312"/>
          <w:sz w:val="32"/>
          <w:szCs w:val="32"/>
          <w:highlight w:val="none"/>
        </w:rPr>
        <w:t>生态环境局</w:t>
      </w:r>
      <w:r>
        <w:rPr>
          <w:rFonts w:hint="eastAsia" w:ascii="仿宋_GB2312" w:hAnsi="仿宋_GB2312" w:eastAsia="仿宋_GB2312" w:cs="仿宋_GB2312"/>
          <w:color w:val="auto"/>
          <w:sz w:val="32"/>
          <w:szCs w:val="32"/>
          <w:highlight w:val="none"/>
          <w:lang w:val="en-US" w:eastAsia="zh-CN"/>
        </w:rPr>
        <w:t>沧源</w:t>
      </w:r>
      <w:r>
        <w:rPr>
          <w:rFonts w:hint="eastAsia" w:ascii="仿宋_GB2312" w:hAnsi="仿宋_GB2312" w:eastAsia="仿宋_GB2312" w:cs="仿宋_GB2312"/>
          <w:sz w:val="32"/>
          <w:szCs w:val="32"/>
          <w:highlight w:val="none"/>
        </w:rPr>
        <w:t>分局要切实履行属地监管职责，按照相关法律法规及《关于进一步完善建设项目环境保护“三同时”及竣工环境保护自主验收监管工作机制的意见》（环执法</w:t>
      </w:r>
      <w:r>
        <w:rPr>
          <w:rFonts w:hint="default" w:ascii="Times New Roman" w:hAnsi="Times New Roman" w:eastAsia="仿宋_GB2312" w:cs="Times New Roman"/>
          <w:sz w:val="32"/>
          <w:szCs w:val="32"/>
          <w:highlight w:val="none"/>
        </w:rPr>
        <w:t>〔2021〕70号）要求，加强对该项目环境</w:t>
      </w:r>
      <w:r>
        <w:rPr>
          <w:rFonts w:hint="default" w:ascii="Times New Roman" w:hAnsi="Times New Roman" w:eastAsia="仿宋_GB2312" w:cs="Times New Roman"/>
          <w:sz w:val="32"/>
          <w:szCs w:val="32"/>
        </w:rPr>
        <w:t>保护</w:t>
      </w:r>
      <w:r>
        <w:rPr>
          <w:rFonts w:hint="default" w:ascii="仿宋_GB2312" w:hAnsi="仿宋_GB2312" w:eastAsia="仿宋_GB2312" w:cs="仿宋_GB2312"/>
          <w:sz w:val="32"/>
          <w:szCs w:val="32"/>
        </w:rPr>
        <w:t>“三同时”</w:t>
      </w:r>
      <w:r>
        <w:rPr>
          <w:rFonts w:hint="default" w:ascii="Times New Roman" w:hAnsi="Times New Roman" w:eastAsia="仿宋_GB2312" w:cs="Times New Roman"/>
          <w:sz w:val="32"/>
          <w:szCs w:val="32"/>
        </w:rPr>
        <w:t>及自主验收监管。</w:t>
      </w:r>
    </w:p>
    <w:p>
      <w:pPr>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临沧市生态环境局</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hint="default" w:ascii="Times New Roman" w:hAnsi="Times New Roman" w:eastAsia="仿宋_GB2312" w:cs="Times New Roman"/>
          <w:sz w:val="24"/>
        </w:rPr>
      </w:pPr>
      <w:r>
        <w:rPr>
          <w:rFonts w:hint="default" w:ascii="仿宋_GB2312" w:hAnsi="仿宋_GB2312" w:eastAsia="仿宋_GB2312" w:cs="仿宋_GB2312"/>
          <w:sz w:val="32"/>
          <w:szCs w:val="32"/>
        </w:rPr>
        <w:t>202</w:t>
      </w: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年12</w:t>
      </w:r>
      <w:r>
        <w:rPr>
          <w:rFonts w:hint="default"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default" w:ascii="仿宋_GB2312" w:hAnsi="仿宋_GB2312" w:eastAsia="仿宋_GB2312" w:cs="仿宋_GB2312"/>
          <w:sz w:val="32"/>
          <w:szCs w:val="32"/>
        </w:rPr>
        <w:t>日</w:t>
      </w:r>
    </w:p>
    <w:p>
      <w:pPr>
        <w:ind w:firstLine="200"/>
        <w:jc w:val="both"/>
        <w:rPr>
          <w:rFonts w:hint="default" w:ascii="Times New Roman" w:hAnsi="Times New Roman" w:eastAsia="仿宋_GB2312" w:cs="Times New Roman"/>
          <w:sz w:val="24"/>
        </w:rPr>
      </w:pPr>
    </w:p>
    <w:p>
      <w:pPr>
        <w:ind w:firstLine="200"/>
        <w:jc w:val="both"/>
        <w:rPr>
          <w:rFonts w:hint="eastAsia" w:ascii="仿宋_GB2312" w:hAnsi="仿宋_GB2312" w:eastAsia="仿宋_GB2312" w:cs="仿宋_GB2312"/>
          <w:sz w:val="24"/>
        </w:rPr>
      </w:pPr>
    </w:p>
    <w:p>
      <w:pPr>
        <w:widowControl w:val="0"/>
        <w:adjustRightInd w:val="0"/>
        <w:snapToGrid w:val="0"/>
        <w:spacing w:line="360" w:lineRule="auto"/>
        <w:ind w:firstLine="480" w:firstLineChars="200"/>
        <w:jc w:val="both"/>
        <w:rPr>
          <w:rFonts w:hint="eastAsia" w:ascii="仿宋_GB2312" w:hAnsi="仿宋_GB2312" w:eastAsia="仿宋_GB2312" w:cs="仿宋_GB2312"/>
          <w:kern w:val="2"/>
          <w:sz w:val="24"/>
          <w:szCs w:val="24"/>
          <w:lang w:val="en-US" w:eastAsia="zh-CN" w:bidi="ar-SA"/>
        </w:rPr>
      </w:pPr>
    </w:p>
    <w:p>
      <w:pPr>
        <w:ind w:firstLine="200"/>
        <w:jc w:val="both"/>
        <w:rPr>
          <w:rFonts w:hint="eastAsia" w:ascii="仿宋_GB2312" w:hAnsi="仿宋_GB2312" w:eastAsia="仿宋_GB2312" w:cs="仿宋_GB2312"/>
          <w:sz w:val="24"/>
        </w:rPr>
      </w:pPr>
    </w:p>
    <w:p>
      <w:pPr>
        <w:widowControl w:val="0"/>
        <w:adjustRightInd w:val="0"/>
        <w:snapToGrid w:val="0"/>
        <w:spacing w:line="360" w:lineRule="auto"/>
        <w:ind w:firstLine="480" w:firstLineChars="200"/>
        <w:jc w:val="both"/>
        <w:rPr>
          <w:rFonts w:hint="eastAsia" w:ascii="仿宋_GB2312" w:hAnsi="仿宋_GB2312" w:eastAsia="仿宋_GB2312" w:cs="仿宋_GB2312"/>
          <w:kern w:val="2"/>
          <w:sz w:val="24"/>
          <w:szCs w:val="24"/>
          <w:lang w:val="en-US" w:eastAsia="zh-CN" w:bidi="ar-SA"/>
        </w:rPr>
      </w:pPr>
    </w:p>
    <w:p>
      <w:pPr>
        <w:ind w:firstLine="200"/>
        <w:jc w:val="both"/>
        <w:rPr>
          <w:rFonts w:hint="eastAsia" w:ascii="仿宋_GB2312" w:hAnsi="仿宋_GB2312" w:eastAsia="仿宋_GB2312" w:cs="仿宋_GB2312"/>
          <w:sz w:val="24"/>
        </w:rPr>
      </w:pPr>
    </w:p>
    <w:p>
      <w:pPr>
        <w:widowControl w:val="0"/>
        <w:adjustRightInd w:val="0"/>
        <w:snapToGrid w:val="0"/>
        <w:spacing w:line="360" w:lineRule="auto"/>
        <w:ind w:firstLine="480" w:firstLineChars="200"/>
        <w:jc w:val="both"/>
        <w:rPr>
          <w:rFonts w:hint="eastAsia" w:ascii="仿宋_GB2312" w:hAnsi="仿宋_GB2312" w:eastAsia="仿宋_GB2312" w:cs="仿宋_GB2312"/>
          <w:kern w:val="2"/>
          <w:sz w:val="24"/>
          <w:szCs w:val="24"/>
          <w:lang w:val="en-US" w:eastAsia="zh-CN" w:bidi="ar-SA"/>
        </w:rPr>
      </w:pPr>
    </w:p>
    <w:p>
      <w:pPr>
        <w:ind w:firstLine="200"/>
        <w:jc w:val="both"/>
        <w:rPr>
          <w:rFonts w:hint="eastAsia" w:ascii="仿宋_GB2312" w:hAnsi="仿宋_GB2312" w:eastAsia="仿宋_GB2312" w:cs="仿宋_GB2312"/>
          <w:sz w:val="24"/>
        </w:rPr>
      </w:pPr>
    </w:p>
    <w:p>
      <w:pPr>
        <w:widowControl w:val="0"/>
        <w:adjustRightInd w:val="0"/>
        <w:snapToGrid w:val="0"/>
        <w:spacing w:line="360" w:lineRule="auto"/>
        <w:ind w:firstLine="480" w:firstLineChars="200"/>
        <w:jc w:val="both"/>
        <w:rPr>
          <w:rFonts w:hint="eastAsia" w:ascii="仿宋_GB2312" w:hAnsi="仿宋_GB2312" w:eastAsia="仿宋_GB2312" w:cs="仿宋_GB2312"/>
          <w:kern w:val="2"/>
          <w:sz w:val="24"/>
          <w:szCs w:val="24"/>
          <w:lang w:val="en-US" w:eastAsia="zh-CN" w:bidi="ar-SA"/>
        </w:rPr>
      </w:pPr>
    </w:p>
    <w:p>
      <w:pPr>
        <w:ind w:firstLine="200"/>
        <w:jc w:val="both"/>
        <w:rPr>
          <w:rFonts w:hint="eastAsia" w:ascii="仿宋_GB2312" w:hAnsi="仿宋_GB2312" w:eastAsia="仿宋_GB2312" w:cs="仿宋_GB2312"/>
          <w:sz w:val="24"/>
        </w:rPr>
      </w:pPr>
    </w:p>
    <w:p>
      <w:pPr>
        <w:widowControl w:val="0"/>
        <w:adjustRightInd w:val="0"/>
        <w:snapToGrid w:val="0"/>
        <w:spacing w:line="360" w:lineRule="auto"/>
        <w:ind w:firstLine="480" w:firstLineChars="200"/>
        <w:jc w:val="both"/>
        <w:rPr>
          <w:rFonts w:hint="eastAsia" w:ascii="仿宋_GB2312" w:hAnsi="仿宋_GB2312" w:eastAsia="仿宋_GB2312" w:cs="仿宋_GB2312"/>
          <w:kern w:val="2"/>
          <w:sz w:val="24"/>
          <w:szCs w:val="24"/>
          <w:lang w:val="en-US" w:eastAsia="zh-CN" w:bidi="ar-SA"/>
        </w:rPr>
      </w:pPr>
    </w:p>
    <w:p>
      <w:pPr>
        <w:ind w:firstLine="200"/>
        <w:jc w:val="both"/>
        <w:rPr>
          <w:rFonts w:hint="eastAsia" w:ascii="仿宋_GB2312" w:hAnsi="仿宋_GB2312" w:eastAsia="仿宋_GB2312" w:cs="仿宋_GB2312"/>
          <w:sz w:val="24"/>
        </w:rPr>
      </w:pPr>
    </w:p>
    <w:p>
      <w:pPr>
        <w:widowControl w:val="0"/>
        <w:adjustRightInd w:val="0"/>
        <w:snapToGrid w:val="0"/>
        <w:spacing w:line="360" w:lineRule="auto"/>
        <w:ind w:firstLine="480" w:firstLineChars="200"/>
        <w:jc w:val="both"/>
        <w:rPr>
          <w:rFonts w:hint="eastAsia" w:ascii="仿宋_GB2312" w:hAnsi="仿宋_GB2312" w:eastAsia="仿宋_GB2312" w:cs="仿宋_GB2312"/>
          <w:kern w:val="2"/>
          <w:sz w:val="24"/>
          <w:szCs w:val="24"/>
          <w:lang w:val="en-US" w:eastAsia="zh-CN" w:bidi="ar-SA"/>
        </w:rPr>
      </w:pPr>
    </w:p>
    <w:p>
      <w:pPr>
        <w:ind w:firstLine="200"/>
        <w:jc w:val="both"/>
        <w:rPr>
          <w:rFonts w:hint="eastAsia" w:ascii="仿宋_GB2312" w:hAnsi="仿宋_GB2312" w:eastAsia="仿宋_GB2312" w:cs="仿宋_GB2312"/>
          <w:sz w:val="24"/>
        </w:rPr>
      </w:pPr>
    </w:p>
    <w:p>
      <w:pPr>
        <w:widowControl w:val="0"/>
        <w:adjustRightInd w:val="0"/>
        <w:snapToGrid w:val="0"/>
        <w:spacing w:line="360" w:lineRule="auto"/>
        <w:ind w:firstLine="480" w:firstLineChars="200"/>
        <w:jc w:val="both"/>
        <w:rPr>
          <w:rFonts w:hint="eastAsia" w:ascii="仿宋_GB2312" w:hAnsi="仿宋_GB2312" w:eastAsia="仿宋_GB2312" w:cs="仿宋_GB2312"/>
          <w:kern w:val="2"/>
          <w:sz w:val="24"/>
          <w:szCs w:val="24"/>
          <w:lang w:val="en-US" w:eastAsia="zh-CN" w:bidi="ar-SA"/>
        </w:rPr>
      </w:pPr>
    </w:p>
    <w:p>
      <w:pPr>
        <w:ind w:firstLine="200"/>
        <w:jc w:val="both"/>
        <w:rPr>
          <w:rFonts w:hint="eastAsia" w:ascii="仿宋_GB2312" w:hAnsi="仿宋_GB2312" w:eastAsia="仿宋_GB2312" w:cs="仿宋_GB2312"/>
          <w:sz w:val="24"/>
        </w:rPr>
      </w:pPr>
    </w:p>
    <w:p>
      <w:pPr>
        <w:widowControl w:val="0"/>
        <w:adjustRightInd w:val="0"/>
        <w:snapToGrid w:val="0"/>
        <w:spacing w:line="360" w:lineRule="auto"/>
        <w:ind w:firstLine="480" w:firstLineChars="200"/>
        <w:jc w:val="both"/>
        <w:rPr>
          <w:rFonts w:hint="eastAsia" w:ascii="仿宋_GB2312" w:hAnsi="仿宋_GB2312" w:eastAsia="仿宋_GB2312" w:cs="仿宋_GB2312"/>
          <w:kern w:val="2"/>
          <w:sz w:val="24"/>
          <w:szCs w:val="24"/>
          <w:lang w:val="en-US" w:eastAsia="zh-CN" w:bidi="ar-SA"/>
        </w:rPr>
      </w:pPr>
    </w:p>
    <w:p>
      <w:pPr>
        <w:ind w:firstLine="200"/>
        <w:jc w:val="both"/>
        <w:rPr>
          <w:rFonts w:hint="eastAsia" w:ascii="仿宋_GB2312" w:hAnsi="仿宋_GB2312" w:eastAsia="仿宋_GB2312" w:cs="仿宋_GB2312"/>
          <w:sz w:val="24"/>
        </w:rPr>
      </w:pPr>
    </w:p>
    <w:p>
      <w:pPr>
        <w:widowControl w:val="0"/>
        <w:adjustRightInd w:val="0"/>
        <w:snapToGrid w:val="0"/>
        <w:spacing w:line="360" w:lineRule="auto"/>
        <w:ind w:firstLine="480" w:firstLineChars="200"/>
        <w:jc w:val="both"/>
        <w:rPr>
          <w:rFonts w:hint="eastAsia" w:ascii="仿宋_GB2312" w:hAnsi="仿宋_GB2312" w:eastAsia="仿宋_GB2312" w:cs="仿宋_GB2312"/>
          <w:kern w:val="2"/>
          <w:sz w:val="24"/>
          <w:szCs w:val="24"/>
          <w:lang w:val="en-US" w:eastAsia="zh-CN" w:bidi="ar-SA"/>
        </w:rPr>
      </w:pPr>
    </w:p>
    <w:p>
      <w:pPr>
        <w:widowControl w:val="0"/>
        <w:adjustRightInd w:val="0"/>
        <w:snapToGrid w:val="0"/>
        <w:spacing w:line="360" w:lineRule="auto"/>
        <w:ind w:left="0" w:leftChars="0" w:firstLine="0" w:firstLineChars="0"/>
        <w:jc w:val="both"/>
        <w:rPr>
          <w:rFonts w:hint="eastAsia" w:ascii="仿宋_GB2312" w:hAnsi="仿宋_GB2312" w:eastAsia="仿宋_GB2312" w:cs="仿宋_GB2312"/>
          <w:kern w:val="2"/>
          <w:sz w:val="24"/>
          <w:szCs w:val="24"/>
          <w:lang w:val="en-US" w:eastAsia="zh-CN" w:bidi="ar-SA"/>
        </w:rPr>
      </w:pPr>
    </w:p>
    <w:p>
      <w:pPr>
        <w:ind w:firstLine="200"/>
        <w:jc w:val="both"/>
        <w:rPr>
          <w:rFonts w:hint="eastAsia" w:ascii="仿宋_GB2312" w:hAnsi="仿宋_GB2312" w:eastAsia="仿宋_GB2312" w:cs="仿宋_GB2312"/>
          <w:sz w:val="24"/>
        </w:rPr>
      </w:pPr>
    </w:p>
    <w:tbl>
      <w:tblPr>
        <w:tblStyle w:val="6"/>
        <w:tblpPr w:leftFromText="180" w:rightFromText="180" w:vertAnchor="text" w:horzAnchor="page" w:tblpX="1496" w:tblpY="5581"/>
        <w:tblOverlap w:val="never"/>
        <w:tblW w:w="917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173"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val="0"/>
              <w:snapToGrid w:val="0"/>
              <w:spacing w:line="0" w:lineRule="atLeast"/>
              <w:ind w:left="1165" w:leftChars="116" w:hanging="840" w:hangingChars="300"/>
              <w:jc w:val="both"/>
              <w:textAlignment w:val="auto"/>
              <w:rPr>
                <w:rFonts w:hint="eastAsia" w:ascii="仿宋_GB2312" w:hAnsi="仿宋_GB2312" w:eastAsia="仿宋_GB2312" w:cs="仿宋_GB2312"/>
                <w:kern w:val="2"/>
                <w:sz w:val="21"/>
                <w:highlight w:val="none"/>
                <w:lang w:val="en-US" w:eastAsia="zh-CN"/>
              </w:rPr>
            </w:pPr>
            <w:r>
              <w:rPr>
                <w:rFonts w:hint="eastAsia" w:ascii="仿宋_GB2312" w:hAnsi="仿宋_GB2312" w:eastAsia="仿宋_GB2312" w:cs="仿宋_GB2312"/>
                <w:kern w:val="0"/>
                <w:sz w:val="28"/>
                <w:szCs w:val="28"/>
                <w:highlight w:val="none"/>
              </w:rPr>
              <w:t>抄送：</w:t>
            </w:r>
            <w:r>
              <w:rPr>
                <w:rFonts w:hint="eastAsia" w:ascii="仿宋_GB2312" w:hAnsi="仿宋_GB2312" w:eastAsia="仿宋_GB2312" w:cs="仿宋_GB2312"/>
                <w:kern w:val="0"/>
                <w:sz w:val="28"/>
                <w:szCs w:val="28"/>
                <w:highlight w:val="none"/>
                <w:lang w:eastAsia="zh-CN"/>
              </w:rPr>
              <w:t>市工业和信息化局，</w:t>
            </w:r>
            <w:r>
              <w:rPr>
                <w:rFonts w:hint="eastAsia" w:ascii="仿宋_GB2312" w:hAnsi="仿宋_GB2312" w:eastAsia="仿宋_GB2312" w:cs="仿宋_GB2312"/>
                <w:kern w:val="0"/>
                <w:sz w:val="28"/>
                <w:szCs w:val="28"/>
                <w:highlight w:val="none"/>
              </w:rPr>
              <w:t>市生态环境局</w:t>
            </w:r>
            <w:r>
              <w:rPr>
                <w:rFonts w:hint="eastAsia" w:ascii="仿宋_GB2312" w:hAnsi="仿宋_GB2312" w:eastAsia="仿宋_GB2312" w:cs="仿宋_GB2312"/>
                <w:kern w:val="0"/>
                <w:sz w:val="28"/>
                <w:szCs w:val="28"/>
                <w:highlight w:val="none"/>
                <w:lang w:val="en-US" w:eastAsia="zh-CN"/>
              </w:rPr>
              <w:t>各科、室、支队、中心、站、沧源</w:t>
            </w:r>
            <w:r>
              <w:rPr>
                <w:rFonts w:hint="eastAsia" w:ascii="仿宋_GB2312" w:hAnsi="仿宋_GB2312" w:eastAsia="仿宋_GB2312" w:cs="仿宋_GB2312"/>
                <w:kern w:val="0"/>
                <w:sz w:val="28"/>
                <w:szCs w:val="28"/>
                <w:highlight w:val="none"/>
              </w:rPr>
              <w:t>分局</w:t>
            </w:r>
            <w:r>
              <w:rPr>
                <w:rFonts w:hint="eastAsia" w:ascii="仿宋_GB2312" w:hAnsi="仿宋_GB2312" w:eastAsia="仿宋_GB2312" w:cs="仿宋_GB2312"/>
                <w:kern w:val="0"/>
                <w:sz w:val="28"/>
                <w:szCs w:val="28"/>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173" w:type="dxa"/>
            <w:tcBorders>
              <w:top w:val="single" w:color="auto" w:sz="4" w:space="0"/>
              <w:left w:val="nil"/>
              <w:bottom w:val="single" w:color="auto" w:sz="4" w:space="0"/>
              <w:right w:val="nil"/>
            </w:tcBorders>
          </w:tcPr>
          <w:p>
            <w:pPr>
              <w:spacing w:line="560" w:lineRule="exact"/>
              <w:ind w:firstLine="280" w:firstLineChars="100"/>
              <w:jc w:val="both"/>
              <w:rPr>
                <w:rFonts w:hint="eastAsia" w:ascii="仿宋_GB2312" w:hAnsi="仿宋_GB2312" w:eastAsia="仿宋_GB2312" w:cs="仿宋_GB2312"/>
                <w:kern w:val="2"/>
                <w:sz w:val="21"/>
                <w:highlight w:val="none"/>
              </w:rPr>
            </w:pPr>
            <w:r>
              <w:rPr>
                <w:rFonts w:hint="eastAsia" w:ascii="仿宋_GB2312" w:hAnsi="仿宋_GB2312" w:eastAsia="仿宋_GB2312" w:cs="仿宋_GB2312"/>
                <w:kern w:val="0"/>
                <w:sz w:val="28"/>
                <w:szCs w:val="28"/>
                <w:highlight w:val="none"/>
              </w:rPr>
              <w:t xml:space="preserve">临沧市生态环境局                    </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 xml:space="preserve">  </w:t>
            </w:r>
            <w:r>
              <w:rPr>
                <w:rFonts w:hint="eastAsia" w:ascii="仿宋_GB2312" w:hAnsi="仿宋_GB2312" w:eastAsia="仿宋_GB2312" w:cs="仿宋_GB2312"/>
                <w:kern w:val="0"/>
                <w:sz w:val="28"/>
                <w:szCs w:val="28"/>
                <w:highlight w:val="none"/>
                <w:lang w:val="en-US" w:eastAsia="zh-CN"/>
              </w:rPr>
              <w:t xml:space="preserve"> </w:t>
            </w:r>
            <w:r>
              <w:rPr>
                <w:rFonts w:hint="default" w:ascii="Times New Roman" w:hAnsi="Times New Roman" w:eastAsia="仿宋_GB2312" w:cs="Times New Roman"/>
                <w:kern w:val="0"/>
                <w:sz w:val="28"/>
                <w:szCs w:val="28"/>
                <w:highlight w:val="none"/>
              </w:rPr>
              <w:t>202</w:t>
            </w:r>
            <w:r>
              <w:rPr>
                <w:rFonts w:hint="default" w:ascii="Times New Roman" w:hAnsi="Times New Roman" w:eastAsia="仿宋_GB2312" w:cs="Times New Roman"/>
                <w:kern w:val="0"/>
                <w:sz w:val="28"/>
                <w:szCs w:val="28"/>
                <w:highlight w:val="none"/>
                <w:lang w:val="en-US" w:eastAsia="zh-CN"/>
              </w:rPr>
              <w:t>3</w:t>
            </w:r>
            <w:r>
              <w:rPr>
                <w:rFonts w:hint="default" w:ascii="Times New Roman" w:hAnsi="Times New Roman" w:eastAsia="仿宋_GB2312" w:cs="Times New Roman"/>
                <w:kern w:val="0"/>
                <w:sz w:val="28"/>
                <w:szCs w:val="28"/>
                <w:highlight w:val="none"/>
              </w:rPr>
              <w:t>年</w:t>
            </w:r>
            <w:r>
              <w:rPr>
                <w:rFonts w:hint="eastAsia" w:ascii="Times New Roman" w:hAnsi="Times New Roman" w:eastAsia="仿宋_GB2312" w:cs="Times New Roman"/>
                <w:kern w:val="0"/>
                <w:sz w:val="28"/>
                <w:szCs w:val="28"/>
                <w:highlight w:val="none"/>
                <w:lang w:val="en-US" w:eastAsia="zh-CN"/>
              </w:rPr>
              <w:t>1</w:t>
            </w:r>
            <w:r>
              <w:rPr>
                <w:rFonts w:hint="eastAsia" w:eastAsia="仿宋_GB2312" w:cs="Times New Roman"/>
                <w:kern w:val="0"/>
                <w:sz w:val="28"/>
                <w:szCs w:val="28"/>
                <w:highlight w:val="none"/>
                <w:lang w:val="en-US" w:eastAsia="zh-CN"/>
              </w:rPr>
              <w:t>2</w:t>
            </w:r>
            <w:r>
              <w:rPr>
                <w:rFonts w:hint="default" w:ascii="Times New Roman" w:hAnsi="Times New Roman" w:eastAsia="仿宋_GB2312" w:cs="Times New Roman"/>
                <w:kern w:val="0"/>
                <w:sz w:val="28"/>
                <w:szCs w:val="28"/>
                <w:highlight w:val="none"/>
              </w:rPr>
              <w:t>月</w:t>
            </w:r>
            <w:r>
              <w:rPr>
                <w:rFonts w:hint="eastAsia" w:eastAsia="仿宋_GB2312" w:cs="Times New Roman"/>
                <w:kern w:val="0"/>
                <w:sz w:val="28"/>
                <w:szCs w:val="28"/>
                <w:highlight w:val="none"/>
                <w:lang w:val="en-US" w:eastAsia="zh-CN"/>
              </w:rPr>
              <w:t>27</w:t>
            </w:r>
            <w:r>
              <w:rPr>
                <w:rFonts w:hint="default" w:ascii="Times New Roman" w:hAnsi="Times New Roman" w:eastAsia="仿宋_GB2312" w:cs="Times New Roman"/>
                <w:kern w:val="0"/>
                <w:sz w:val="28"/>
                <w:szCs w:val="28"/>
                <w:highlight w:val="none"/>
              </w:rPr>
              <w:t>日印</w:t>
            </w:r>
          </w:p>
        </w:tc>
      </w:tr>
    </w:tbl>
    <w:p>
      <w:pPr>
        <w:widowControl w:val="0"/>
        <w:adjustRightInd w:val="0"/>
        <w:snapToGrid w:val="0"/>
        <w:spacing w:line="360" w:lineRule="auto"/>
        <w:ind w:firstLine="480" w:firstLineChars="200"/>
        <w:jc w:val="both"/>
        <w:rPr>
          <w:rFonts w:hint="eastAsia" w:ascii="仿宋_GB2312" w:hAnsi="仿宋_GB2312" w:eastAsia="仿宋_GB2312" w:cs="仿宋_GB2312"/>
          <w:kern w:val="2"/>
          <w:sz w:val="24"/>
          <w:szCs w:val="24"/>
          <w:highlight w:val="none"/>
          <w:lang w:val="en-US" w:eastAsia="zh-CN" w:bidi="ar-SA"/>
        </w:rPr>
      </w:pPr>
    </w:p>
    <w:p>
      <w:pPr>
        <w:rPr>
          <w:highlight w:val="none"/>
        </w:rPr>
      </w:pPr>
      <w:bookmarkStart w:id="0" w:name="_GoBack"/>
      <w:bookmarkEnd w:id="0"/>
    </w:p>
    <w:sectPr>
      <w:footerReference r:id="rId5" w:type="default"/>
      <w:pgSz w:w="11906" w:h="16838"/>
      <w:pgMar w:top="2154" w:right="1474" w:bottom="2041" w:left="1531"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ZmMyZDM3YmM1NWEwYmRjMjY3ZTQ0ZTZjOWEwMzkifQ=="/>
  </w:docVars>
  <w:rsids>
    <w:rsidRoot w:val="4D3C5F8C"/>
    <w:rsid w:val="06A50B76"/>
    <w:rsid w:val="0EB308D3"/>
    <w:rsid w:val="338B718F"/>
    <w:rsid w:val="36F1114A"/>
    <w:rsid w:val="42984A4B"/>
    <w:rsid w:val="4D3C5F8C"/>
    <w:rsid w:val="5A9D1A52"/>
    <w:rsid w:val="60624676"/>
    <w:rsid w:val="6BED2C70"/>
    <w:rsid w:val="6E4371BC"/>
    <w:rsid w:val="780D41EE"/>
    <w:rsid w:val="FF393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964" w:firstLineChars="200"/>
    </w:pPr>
    <w:rPr>
      <w:rFonts w:ascii="Times New Roman" w:hAnsi="Times New Roman" w:eastAsia="宋体" w:cstheme="minorBidi"/>
      <w:kern w:val="2"/>
      <w:sz w:val="28"/>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2023-11-09T16:03:00Z</dcterms:created>
  <dc:creator>スーパーサイヤ人の神</dc:creator>
  <cp:lastModifiedBy>kylin</cp:lastModifiedBy>
  <cp:lastPrinted>2023-12-27T09:31:31Z</cp:lastPrinted>
  <dcterms:modified xsi:type="dcterms:W3CDTF">2023-12-27T09:33:15Z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61849A806A57498D991B5B5BD4BA5D96_13</vt:lpwstr>
  </property>
</Properties>
</file>