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公开征集市人民政府2022年立法工作计划立法项目建议表</w:t>
      </w:r>
    </w:p>
    <w:p>
      <w:pPr>
        <w:spacing w:line="260" w:lineRule="exact"/>
        <w:rPr>
          <w:rFonts w:hint="eastAsia" w:ascii="方正楷体_GBK" w:eastAsia="方正楷体_GBK"/>
          <w:sz w:val="30"/>
          <w:szCs w:val="30"/>
        </w:rPr>
      </w:pPr>
    </w:p>
    <w:tbl>
      <w:tblPr>
        <w:tblStyle w:val="3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098"/>
        <w:gridCol w:w="1582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单位名称</w:t>
            </w: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或者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填表时间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7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600"/>
              </w:tabs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立法的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依据、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必要性和可行性：</w:t>
            </w:r>
          </w:p>
          <w:p>
            <w:pPr>
              <w:tabs>
                <w:tab w:val="left" w:pos="3600"/>
              </w:tabs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tabs>
                <w:tab w:val="left" w:pos="3600"/>
              </w:tabs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9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600"/>
              </w:tabs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上位法制定和修订情况，省、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市外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同类立法情况：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9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立法拟解决的主要问题和拟规定的主要内容：</w:t>
            </w:r>
          </w:p>
          <w:p>
            <w:pPr>
              <w:tabs>
                <w:tab w:val="left" w:pos="3600"/>
              </w:tabs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tabs>
                <w:tab w:val="left" w:pos="3600"/>
              </w:tabs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tabs>
                <w:tab w:val="left" w:pos="3600"/>
              </w:tabs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方正楷体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">
    <w:panose1 w:val="02020500000000000000"/>
    <w:charset w:val="86"/>
    <w:family w:val="auto"/>
    <w:pitch w:val="default"/>
    <w:sig w:usb0="A00002FF" w:usb1="28CFFCFA" w:usb2="00000016" w:usb3="00000000" w:csb0="00100001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55070"/>
    <w:rsid w:val="415550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2021-09-30T02:55:00Z</dcterms:created>
  <dc:creator>市司法局收发员</dc:creator>
  <cp:lastModifiedBy>市司法局收发员</cp:lastModifiedBy>
  <dcterms:modified xsi:type="dcterms:W3CDTF">2021-09-30T02:55:55Z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