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临沧市林业和草原局202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年度政府信息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6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本年度报告是根据《中华人民共和国政府信息公开条例》要求，由临沧市林业和草原局编制。本报告中所列数据统计期限自202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年1月1日起至202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年12月31日止。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6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6" w:lineRule="exact"/>
        <w:ind w:left="0" w:firstLine="640" w:firstLineChars="200"/>
        <w:jc w:val="both"/>
        <w:textAlignment w:val="auto"/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主动公开情况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。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202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年，市林业和草原局认真执行《中华人民共和国政府信息公开条例》，扎实推进政府信息公开，根据法定主动公开内容，全年主动公开信息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公开信息包括：单位领导简介、分工及各科室职能职责、办公室联系电话等机构职能信息，以及生态保护、林产业发展等动态信息。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2023年在临沧市人民政府门户网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临沧市林业和草原局子网公开信息公开信息94条，在“临沧林草”微信公众号公开信息182条。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6" w:lineRule="exact"/>
        <w:ind w:left="0" w:firstLine="640" w:firstLineChars="200"/>
        <w:jc w:val="both"/>
        <w:textAlignment w:val="auto"/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（二）依申请公开政府信息情况。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202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年，市林业和草原局未收到依申请公开政府信息办件。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6" w:lineRule="exact"/>
        <w:ind w:left="0" w:firstLine="640" w:firstLineChars="200"/>
        <w:jc w:val="both"/>
        <w:textAlignment w:val="auto"/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（三）政府信息管理情况。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202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年，深入推进政务公开管理工作，</w:t>
      </w:r>
      <w:r>
        <w:rPr>
          <w:rFonts w:hint="eastAsia" w:eastAsia="方正仿宋_GBK" w:cs="Times New Roman"/>
          <w:b/>
          <w:bCs w:val="0"/>
          <w:color w:val="auto"/>
          <w:sz w:val="32"/>
          <w:szCs w:val="32"/>
          <w:lang w:eastAsia="zh-CN"/>
        </w:rPr>
        <w:t>一是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由局办公室负责信息公开总体工作，按要求细化工作职责到相关科室（站所）。</w:t>
      </w:r>
      <w:r>
        <w:rPr>
          <w:rFonts w:hint="eastAsia" w:eastAsia="方正仿宋_GBK" w:cs="Times New Roman"/>
          <w:b/>
          <w:bCs w:val="0"/>
          <w:color w:val="auto"/>
          <w:sz w:val="32"/>
          <w:szCs w:val="32"/>
          <w:lang w:eastAsia="zh-CN"/>
        </w:rPr>
        <w:t>二是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明确局办公室专人负责网站相关信息发布等工作。</w:t>
      </w:r>
      <w:r>
        <w:rPr>
          <w:rFonts w:hint="eastAsia" w:eastAsia="方正仿宋_GBK" w:cs="Times New Roman"/>
          <w:b/>
          <w:bCs w:val="0"/>
          <w:color w:val="auto"/>
          <w:sz w:val="32"/>
          <w:szCs w:val="32"/>
          <w:lang w:eastAsia="zh-CN"/>
        </w:rPr>
        <w:t>三是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各科室（站所）结合职能职责做好信息公开工作。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）公开平台建设情况。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进一步健全了临沧市人民政府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门户网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市林业和草原局专栏，共设立工作动态、通知通告、组织机构、信息公开、专题专栏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栏目。其中组织机构栏目下设置领导简介、机构职能；信息公开栏目下设置信息公开指南、信息公开制度、信息公开年报、文件和解读、财政预决算及三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公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经费、权责清单、发展计划报告、建议和提案办理结果公示、行政执法信息；专题专栏下设置党建栏目。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）监督保障情况。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把政府信息公开工作纳入重要议事日程，明确了一名副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局长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作为分管领导，分管领导具体抓的工作机制。明确责任科室及分工，各科室、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站所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负责业务范围内政府信息公开，形成广泛参与、分级负责的工作格局，切实保障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全局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政府信息公开工作的顺利开展。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6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二、主动公开政府信息情况</w:t>
      </w:r>
    </w:p>
    <w:tbl>
      <w:tblPr>
        <w:tblStyle w:val="7"/>
        <w:tblpPr w:leftFromText="180" w:rightFromText="180" w:vertAnchor="text" w:horzAnchor="page" w:tblpXSpec="center" w:tblpY="565"/>
        <w:tblOverlap w:val="never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4"/>
        <w:gridCol w:w="2235"/>
        <w:gridCol w:w="2235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8622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2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2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9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2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2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8622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8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8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8622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8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8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8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8622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8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2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8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7"/>
        <w:tblW w:w="8763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070"/>
        <w:gridCol w:w="2701"/>
        <w:gridCol w:w="612"/>
        <w:gridCol w:w="612"/>
        <w:gridCol w:w="612"/>
        <w:gridCol w:w="612"/>
        <w:gridCol w:w="612"/>
        <w:gridCol w:w="631"/>
        <w:gridCol w:w="6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4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20" w:type="dxa"/>
            <w:gridSpan w:val="7"/>
            <w:tcBorders>
              <w:top w:val="single" w:color="auto" w:sz="8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4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12" w:type="dxa"/>
            <w:vMerge w:val="restart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079" w:type="dxa"/>
            <w:gridSpan w:val="5"/>
            <w:tcBorders>
              <w:top w:val="single" w:color="auto" w:sz="8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single" w:color="0100FE" w:sz="0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44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single" w:color="0100FE" w:sz="0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restart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771" w:type="dxa"/>
            <w:gridSpan w:val="2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restart"/>
            <w:tcBorders>
              <w:top w:val="single" w:color="0100FE" w:sz="0" w:space="0"/>
              <w:left w:val="single" w:color="0100FE" w:sz="0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70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color="0100FE" w:sz="0" w:space="0"/>
              <w:left w:val="single" w:color="0100FE" w:sz="0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100FE" w:sz="0" w:space="0"/>
              <w:left w:val="single" w:color="0100FE" w:sz="0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0100FE" w:sz="0" w:space="0"/>
              <w:left w:val="single" w:color="0100FE" w:sz="0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0100FE" w:sz="0" w:space="0"/>
              <w:left w:val="single" w:color="0100FE" w:sz="0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restart"/>
            <w:tcBorders>
              <w:top w:val="single" w:color="0100FE" w:sz="0" w:space="0"/>
              <w:left w:val="single" w:color="0100FE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restart"/>
            <w:tcBorders>
              <w:top w:val="single" w:color="0100FE" w:sz="0" w:space="0"/>
              <w:left w:val="single" w:color="0100FE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restart"/>
            <w:tcBorders>
              <w:top w:val="outset" w:color="auto" w:sz="6" w:space="0"/>
              <w:left w:val="single" w:color="0100FE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outset" w:color="auto" w:sz="6" w:space="0"/>
              <w:left w:val="single" w:color="0100FE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outset" w:color="auto" w:sz="6" w:space="0"/>
              <w:left w:val="single" w:color="0100FE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72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四、政府信息公开行政复议、行政诉讼情况</w:t>
      </w:r>
    </w:p>
    <w:tbl>
      <w:tblPr>
        <w:tblStyle w:val="7"/>
        <w:tblW w:w="88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588"/>
        <w:gridCol w:w="589"/>
        <w:gridCol w:w="589"/>
        <w:gridCol w:w="605"/>
        <w:gridCol w:w="589"/>
        <w:gridCol w:w="589"/>
        <w:gridCol w:w="590"/>
        <w:gridCol w:w="590"/>
        <w:gridCol w:w="605"/>
        <w:gridCol w:w="590"/>
        <w:gridCol w:w="590"/>
        <w:gridCol w:w="590"/>
        <w:gridCol w:w="590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5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2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2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b w:val="0"/>
          <w:bCs/>
          <w:color w:val="auto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2023年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市林业和草原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局信息公开工作中还存在一些问题和不足，主要表现在：一是公开渠道单一、形式不够丰富；二是政务公开业务能力需进一步加强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，公开内容一还程度上存在错漏问题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。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三是政策解读工作还不够到位。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下一步，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将从以下几个方面抓好落实：一是严格审核把关。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严格落实“先审后发”“三审三校”等信息发布制度，对重点稿件反复核校，历史信息定期“回头看”，及时发现和纠正错漏信息，确保发布信息内容及时、合法、完整、准确。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二是丰富公开内容。按照“公开为常态、不公开为例外”要求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，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做好林草信息主动公开工作，增加信息量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。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eastAsia="zh-CN"/>
        </w:rPr>
        <w:t>三是加强政策解读工作。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通过数字化、图表图解等形式，做到重要政策措施件件有解读，解读有新意，着重解读政策背景依据、目标任务、主要内容等信息，及时准确传递权威信息和政策意图。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六、其他需要报告的事项</w:t>
      </w:r>
    </w:p>
    <w:p>
      <w:pPr>
        <w:ind w:firstLine="640" w:firstLineChars="200"/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年，</w:t>
      </w:r>
      <w:r>
        <w:rPr>
          <w:rFonts w:hint="eastAsia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市林业和草原局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无政府信息处理费收取情况。</w:t>
      </w:r>
    </w:p>
    <w:p>
      <w:pPr>
        <w:overflowPunct w:val="0"/>
        <w:adjustRightInd w:val="0"/>
        <w:snapToGrid w:val="0"/>
        <w:spacing w:line="340" w:lineRule="exact"/>
        <w:rPr>
          <w:rFonts w:hint="eastAsia"/>
          <w:b w:val="0"/>
          <w:bCs/>
          <w:spacing w:val="-4"/>
          <w:sz w:val="32"/>
        </w:rPr>
      </w:pPr>
    </w:p>
    <w:p>
      <w:pPr>
        <w:overflowPunct w:val="0"/>
        <w:adjustRightInd w:val="0"/>
        <w:snapToGrid w:val="0"/>
        <w:spacing w:line="340" w:lineRule="exact"/>
        <w:rPr>
          <w:rFonts w:hint="eastAsia"/>
          <w:b w:val="0"/>
          <w:bCs/>
          <w:spacing w:val="-4"/>
          <w:sz w:val="32"/>
        </w:rPr>
      </w:pPr>
    </w:p>
    <w:p>
      <w:pPr>
        <w:overflowPunct w:val="0"/>
        <w:adjustRightInd w:val="0"/>
        <w:snapToGrid w:val="0"/>
        <w:spacing w:line="340" w:lineRule="exact"/>
        <w:rPr>
          <w:rFonts w:hint="eastAsia"/>
          <w:b w:val="0"/>
          <w:bCs/>
          <w:spacing w:val="-4"/>
          <w:sz w:val="32"/>
        </w:rPr>
      </w:pPr>
    </w:p>
    <w:p>
      <w:pPr>
        <w:overflowPunct w:val="0"/>
        <w:adjustRightInd w:val="0"/>
        <w:snapToGrid w:val="0"/>
        <w:spacing w:line="340" w:lineRule="exact"/>
        <w:rPr>
          <w:rFonts w:hint="eastAsia"/>
          <w:b w:val="0"/>
          <w:bCs/>
          <w:spacing w:val="-4"/>
          <w:sz w:val="32"/>
        </w:rPr>
      </w:pPr>
    </w:p>
    <w:p>
      <w:pPr>
        <w:overflowPunct w:val="0"/>
        <w:adjustRightInd w:val="0"/>
        <w:snapToGrid w:val="0"/>
        <w:spacing w:line="340" w:lineRule="exact"/>
        <w:rPr>
          <w:rFonts w:hint="eastAsia"/>
          <w:b w:val="0"/>
          <w:bCs/>
          <w:spacing w:val="-4"/>
          <w:sz w:val="32"/>
        </w:rPr>
      </w:pPr>
    </w:p>
    <w:p>
      <w:pPr>
        <w:overflowPunct w:val="0"/>
        <w:adjustRightInd w:val="0"/>
        <w:snapToGrid w:val="0"/>
        <w:spacing w:line="340" w:lineRule="exact"/>
        <w:rPr>
          <w:rFonts w:hint="eastAsia"/>
          <w:b w:val="0"/>
          <w:bCs/>
          <w:spacing w:val="-4"/>
          <w:sz w:val="32"/>
        </w:rPr>
      </w:pPr>
    </w:p>
    <w:p>
      <w:pPr>
        <w:overflowPunct w:val="0"/>
        <w:adjustRightInd w:val="0"/>
        <w:snapToGrid w:val="0"/>
        <w:spacing w:line="340" w:lineRule="exact"/>
        <w:rPr>
          <w:rFonts w:hint="eastAsia"/>
          <w:b w:val="0"/>
          <w:bCs/>
          <w:spacing w:val="-4"/>
          <w:sz w:val="32"/>
        </w:rPr>
      </w:pPr>
    </w:p>
    <w:p>
      <w:pPr>
        <w:overflowPunct w:val="0"/>
        <w:adjustRightInd w:val="0"/>
        <w:snapToGrid w:val="0"/>
        <w:spacing w:line="340" w:lineRule="exact"/>
        <w:rPr>
          <w:rFonts w:hint="eastAsia"/>
          <w:b w:val="0"/>
          <w:bCs/>
          <w:spacing w:val="-4"/>
          <w:sz w:val="32"/>
        </w:rPr>
      </w:pPr>
    </w:p>
    <w:p>
      <w:pPr>
        <w:overflowPunct w:val="0"/>
        <w:adjustRightInd w:val="0"/>
        <w:snapToGrid w:val="0"/>
        <w:spacing w:line="340" w:lineRule="exact"/>
        <w:rPr>
          <w:rFonts w:hint="eastAsia"/>
          <w:b w:val="0"/>
          <w:bCs/>
          <w:spacing w:val="-4"/>
          <w:sz w:val="32"/>
        </w:rPr>
      </w:pPr>
    </w:p>
    <w:p>
      <w:pPr>
        <w:overflowPunct w:val="0"/>
        <w:adjustRightInd w:val="0"/>
        <w:snapToGrid w:val="0"/>
        <w:spacing w:line="340" w:lineRule="exact"/>
        <w:rPr>
          <w:rFonts w:hint="eastAsia"/>
          <w:b w:val="0"/>
          <w:bCs/>
          <w:spacing w:val="-4"/>
          <w:sz w:val="32"/>
        </w:rPr>
      </w:pPr>
    </w:p>
    <w:p>
      <w:pPr>
        <w:overflowPunct w:val="0"/>
        <w:adjustRightInd w:val="0"/>
        <w:snapToGrid w:val="0"/>
        <w:spacing w:line="340" w:lineRule="exact"/>
        <w:rPr>
          <w:rFonts w:hint="eastAsia"/>
          <w:b w:val="0"/>
          <w:bCs/>
          <w:spacing w:val="-4"/>
          <w:sz w:val="32"/>
        </w:rPr>
      </w:pPr>
    </w:p>
    <w:p>
      <w:pPr>
        <w:overflowPunct w:val="0"/>
        <w:adjustRightInd w:val="0"/>
        <w:snapToGrid w:val="0"/>
        <w:spacing w:line="340" w:lineRule="exact"/>
        <w:rPr>
          <w:rFonts w:hint="eastAsia"/>
          <w:b w:val="0"/>
          <w:bCs/>
          <w:spacing w:val="-4"/>
          <w:sz w:val="32"/>
        </w:rPr>
      </w:pPr>
    </w:p>
    <w:p>
      <w:pPr>
        <w:overflowPunct w:val="0"/>
        <w:adjustRightInd w:val="0"/>
        <w:snapToGrid w:val="0"/>
        <w:spacing w:line="340" w:lineRule="exact"/>
        <w:rPr>
          <w:rFonts w:hint="eastAsia"/>
          <w:b w:val="0"/>
          <w:bCs/>
          <w:spacing w:val="-4"/>
          <w:sz w:val="32"/>
        </w:rPr>
      </w:pPr>
    </w:p>
    <w:p>
      <w:pPr>
        <w:overflowPunct w:val="0"/>
        <w:adjustRightInd w:val="0"/>
        <w:snapToGrid w:val="0"/>
        <w:spacing w:line="340" w:lineRule="exact"/>
        <w:rPr>
          <w:rFonts w:hint="eastAsia"/>
          <w:b w:val="0"/>
          <w:bCs/>
          <w:spacing w:val="-4"/>
          <w:sz w:val="32"/>
        </w:rPr>
      </w:pPr>
    </w:p>
    <w:p>
      <w:pPr>
        <w:overflowPunct w:val="0"/>
        <w:adjustRightInd w:val="0"/>
        <w:snapToGrid w:val="0"/>
        <w:spacing w:line="340" w:lineRule="exact"/>
        <w:rPr>
          <w:rFonts w:hint="eastAsia"/>
          <w:b w:val="0"/>
          <w:bCs/>
          <w:spacing w:val="-4"/>
          <w:sz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5179F"/>
    <w:rsid w:val="08056C61"/>
    <w:rsid w:val="0A25179F"/>
    <w:rsid w:val="0ABC5F9C"/>
    <w:rsid w:val="13711786"/>
    <w:rsid w:val="1EEC6CBB"/>
    <w:rsid w:val="2701653C"/>
    <w:rsid w:val="2BF667B7"/>
    <w:rsid w:val="31260DE3"/>
    <w:rsid w:val="31C877C2"/>
    <w:rsid w:val="32340186"/>
    <w:rsid w:val="41DA711B"/>
    <w:rsid w:val="53E74CDC"/>
    <w:rsid w:val="5A8826E6"/>
    <w:rsid w:val="5BF35D54"/>
    <w:rsid w:val="6E4B7427"/>
    <w:rsid w:val="7AC455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2024-01-12T03:38:00Z</dcterms:created>
  <dc:creator>陈德荣</dc:creator>
  <cp:lastModifiedBy>陈德荣</cp:lastModifiedBy>
  <dcterms:modified xsi:type="dcterms:W3CDTF">2024-01-17T02:28:37Z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