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40" w:line="219" w:lineRule="auto"/>
        <w:ind w:left="304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招标方案核准意见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4" w:line="220" w:lineRule="auto"/>
        <w:ind w:left="6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0"/>
          <w:sz w:val="32"/>
          <w:szCs w:val="32"/>
        </w:rPr>
        <w:t>项目名称：35</w:t>
      </w:r>
      <w:r>
        <w:rPr>
          <w:rFonts w:ascii="宋体" w:hAnsi="宋体" w:eastAsia="宋体" w:cs="宋体"/>
          <w:sz w:val="32"/>
          <w:szCs w:val="32"/>
        </w:rPr>
        <w:t>kV</w:t>
      </w:r>
      <w:r>
        <w:rPr>
          <w:rFonts w:ascii="宋体" w:hAnsi="宋体" w:eastAsia="宋体" w:cs="宋体"/>
          <w:spacing w:val="10"/>
          <w:sz w:val="32"/>
          <w:szCs w:val="32"/>
        </w:rPr>
        <w:t>河外变二期工程</w:t>
      </w:r>
    </w:p>
    <w:p>
      <w:pPr>
        <w:spacing w:before="257" w:line="219" w:lineRule="auto"/>
        <w:ind w:left="6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项目代码：2208-530900-04-02-590142</w:t>
      </w:r>
    </w:p>
    <w:p>
      <w:pPr>
        <w:spacing w:line="81" w:lineRule="exact"/>
      </w:pPr>
    </w:p>
    <w:tbl>
      <w:tblPr>
        <w:tblStyle w:val="4"/>
        <w:tblW w:w="9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29"/>
        <w:gridCol w:w="1119"/>
        <w:gridCol w:w="1129"/>
        <w:gridCol w:w="1119"/>
        <w:gridCol w:w="1029"/>
        <w:gridCol w:w="999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8" w:type="dxa"/>
            <w:gridSpan w:val="2"/>
            <w:vAlign w:val="top"/>
          </w:tcPr>
          <w:p>
            <w:pPr>
              <w:spacing w:before="129" w:line="220" w:lineRule="auto"/>
              <w:ind w:left="47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招标范围</w:t>
            </w:r>
          </w:p>
        </w:tc>
        <w:tc>
          <w:tcPr>
            <w:tcW w:w="2248" w:type="dxa"/>
            <w:gridSpan w:val="2"/>
            <w:vAlign w:val="top"/>
          </w:tcPr>
          <w:p>
            <w:pPr>
              <w:spacing w:before="129" w:line="220" w:lineRule="auto"/>
              <w:ind w:left="1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招标组织形式</w:t>
            </w:r>
          </w:p>
        </w:tc>
        <w:tc>
          <w:tcPr>
            <w:tcW w:w="2028" w:type="dxa"/>
            <w:gridSpan w:val="2"/>
            <w:vAlign w:val="top"/>
          </w:tcPr>
          <w:p>
            <w:pPr>
              <w:spacing w:before="129" w:line="220" w:lineRule="auto"/>
              <w:ind w:left="36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招标方式</w:t>
            </w:r>
          </w:p>
        </w:tc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15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不采用招</w:t>
            </w:r>
          </w:p>
          <w:p>
            <w:pPr>
              <w:spacing w:before="53" w:line="220" w:lineRule="auto"/>
              <w:ind w:left="31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94" w:line="237" w:lineRule="auto"/>
              <w:ind w:left="2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全部</w:t>
            </w:r>
          </w:p>
          <w:p>
            <w:pPr>
              <w:spacing w:before="1" w:line="209" w:lineRule="auto"/>
              <w:ind w:left="2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招标</w:t>
            </w:r>
          </w:p>
        </w:tc>
        <w:tc>
          <w:tcPr>
            <w:tcW w:w="1119" w:type="dxa"/>
            <w:vAlign w:val="top"/>
          </w:tcPr>
          <w:p>
            <w:pPr>
              <w:spacing w:before="94" w:line="237" w:lineRule="auto"/>
              <w:ind w:left="23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部分</w:t>
            </w:r>
          </w:p>
          <w:p>
            <w:pPr>
              <w:spacing w:before="1" w:line="209" w:lineRule="auto"/>
              <w:ind w:left="23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招标</w:t>
            </w:r>
          </w:p>
        </w:tc>
        <w:tc>
          <w:tcPr>
            <w:tcW w:w="1129" w:type="dxa"/>
            <w:vAlign w:val="top"/>
          </w:tcPr>
          <w:p>
            <w:pPr>
              <w:spacing w:before="75" w:line="236" w:lineRule="auto"/>
              <w:ind w:left="2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6"/>
                <w:sz w:val="32"/>
                <w:szCs w:val="32"/>
              </w:rPr>
              <w:t>自行</w:t>
            </w:r>
          </w:p>
          <w:p>
            <w:pPr>
              <w:spacing w:line="220" w:lineRule="auto"/>
              <w:ind w:left="2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招标</w:t>
            </w:r>
          </w:p>
        </w:tc>
        <w:tc>
          <w:tcPr>
            <w:tcW w:w="1119" w:type="dxa"/>
            <w:vAlign w:val="top"/>
          </w:tcPr>
          <w:p>
            <w:pPr>
              <w:spacing w:before="57" w:line="234" w:lineRule="auto"/>
              <w:ind w:left="235" w:right="22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委托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招标</w:t>
            </w:r>
          </w:p>
        </w:tc>
        <w:tc>
          <w:tcPr>
            <w:tcW w:w="1029" w:type="dxa"/>
            <w:vAlign w:val="top"/>
          </w:tcPr>
          <w:p>
            <w:pPr>
              <w:spacing w:before="95" w:line="223" w:lineRule="auto"/>
              <w:ind w:left="186" w:right="17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公开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招标</w:t>
            </w:r>
          </w:p>
        </w:tc>
        <w:tc>
          <w:tcPr>
            <w:tcW w:w="999" w:type="dxa"/>
            <w:vAlign w:val="top"/>
          </w:tcPr>
          <w:p>
            <w:pPr>
              <w:spacing w:before="85" w:line="226" w:lineRule="auto"/>
              <w:ind w:left="177" w:right="15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邀请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招标</w:t>
            </w:r>
          </w:p>
        </w:tc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13" w:type="dxa"/>
            <w:vAlign w:val="top"/>
          </w:tcPr>
          <w:p>
            <w:pPr>
              <w:spacing w:before="155" w:line="219" w:lineRule="auto"/>
              <w:ind w:left="4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勘察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13" w:type="dxa"/>
            <w:vAlign w:val="top"/>
          </w:tcPr>
          <w:p>
            <w:pPr>
              <w:spacing w:before="127" w:line="221" w:lineRule="auto"/>
              <w:ind w:left="4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设计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13" w:type="dxa"/>
            <w:vAlign w:val="top"/>
          </w:tcPr>
          <w:p>
            <w:pPr>
              <w:spacing w:before="126" w:line="220" w:lineRule="auto"/>
              <w:ind w:left="15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建筑工程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13" w:type="dxa"/>
            <w:vAlign w:val="top"/>
          </w:tcPr>
          <w:p>
            <w:pPr>
              <w:spacing w:before="127" w:line="220" w:lineRule="auto"/>
              <w:ind w:left="15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安装工程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86" w:line="238" w:lineRule="auto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13" w:type="dxa"/>
            <w:vAlign w:val="top"/>
          </w:tcPr>
          <w:p>
            <w:pPr>
              <w:spacing w:before="172" w:line="223" w:lineRule="auto"/>
              <w:ind w:left="4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监理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13" w:type="dxa"/>
            <w:vAlign w:val="top"/>
          </w:tcPr>
          <w:p>
            <w:pPr>
              <w:spacing w:before="180" w:line="213" w:lineRule="auto"/>
              <w:ind w:left="4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设备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88" w:line="238" w:lineRule="auto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13" w:type="dxa"/>
            <w:vAlign w:val="top"/>
          </w:tcPr>
          <w:p>
            <w:pPr>
              <w:spacing w:before="126" w:line="219" w:lineRule="auto"/>
              <w:ind w:left="15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重要材料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3" w:type="dxa"/>
            <w:vAlign w:val="top"/>
          </w:tcPr>
          <w:p>
            <w:pPr>
              <w:spacing w:before="170" w:line="220" w:lineRule="auto"/>
              <w:ind w:left="4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其他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1" w:hRule="atLeast"/>
        </w:trPr>
        <w:tc>
          <w:tcPr>
            <w:tcW w:w="9750" w:type="dxa"/>
            <w:gridSpan w:val="8"/>
            <w:vAlign w:val="top"/>
          </w:tcPr>
          <w:p>
            <w:pPr>
              <w:spacing w:before="129" w:line="219" w:lineRule="auto"/>
              <w:ind w:left="9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9"/>
                <w:sz w:val="32"/>
                <w:szCs w:val="32"/>
              </w:rPr>
              <w:t>审批意见及说明：</w:t>
            </w:r>
          </w:p>
          <w:p>
            <w:pPr>
              <w:spacing w:before="148" w:line="219" w:lineRule="auto"/>
              <w:ind w:left="7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根据35</w:t>
            </w:r>
            <w:r>
              <w:rPr>
                <w:rFonts w:ascii="宋体" w:hAnsi="宋体" w:eastAsia="宋体" w:cs="宋体"/>
                <w:sz w:val="32"/>
                <w:szCs w:val="32"/>
              </w:rPr>
              <w:t>kV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河外变二期工程招标基本情况表，批复如下意见；</w:t>
            </w:r>
          </w:p>
          <w:p>
            <w:pPr>
              <w:spacing w:before="180" w:line="283" w:lineRule="auto"/>
              <w:ind w:left="95" w:right="25" w:firstLine="61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1.该项目所涉及的勘察、设计、建筑工程、安装工程、监理、设</w:t>
            </w: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z w:val="32"/>
                <w:szCs w:val="32"/>
              </w:rPr>
              <w:t>备、重要材料等项目全部实行招标，并委托招标代理机构组织进入公</w:t>
            </w:r>
          </w:p>
          <w:p>
            <w:pPr>
              <w:spacing w:line="219" w:lineRule="auto"/>
              <w:ind w:left="9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>共资源交易中心公开招标。</w:t>
            </w:r>
          </w:p>
          <w:p>
            <w:pPr>
              <w:spacing w:before="128" w:line="219" w:lineRule="auto"/>
              <w:ind w:left="665"/>
              <w:rPr>
                <w:rFonts w:ascii="宋体" w:hAnsi="宋体" w:eastAsia="宋体" w:cs="宋体"/>
                <w:sz w:val="32"/>
                <w:szCs w:val="32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4124325</wp:posOffset>
                  </wp:positionH>
                  <wp:positionV relativeFrom="paragraph">
                    <wp:posOffset>-40005</wp:posOffset>
                  </wp:positionV>
                  <wp:extent cx="1473200" cy="146050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79" cy="1460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2.其他项目(含：基本预备、建贷利息等)不采用招标方式。</w:t>
            </w:r>
          </w:p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595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0"/>
                <w:sz w:val="32"/>
                <w:szCs w:val="32"/>
              </w:rPr>
              <w:t>2022年8月9日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2220" w:h="17050"/>
      <w:pgMar w:top="1449" w:right="994" w:bottom="400" w:left="146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76250E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2022-11-17T16:23:00Z</dcterms:created>
  <dc:creator>Kingsoft-PDF</dc:creator>
  <cp:keywords>6375ef64c1ea6f00166111ca</cp:keywords>
  <cp:lastModifiedBy>Administrator</cp:lastModifiedBy>
  <dcterms:modified xsi:type="dcterms:W3CDTF">2022-11-18T02:03:48Z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2022-11-17T16:23:19Z</vt:filetime>
  </property>
  <property fmtid="{D5CDD505-2E9C-101B-9397-08002B2CF9AE}" pid="4" name="KSOProductBuildVer">
    <vt:lpwstr>2052-10.8.0.5950</vt:lpwstr>
  </property>
</Properties>
</file>