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9E39A">
      <w:pPr>
        <w:pStyle w:val="33"/>
        <w:bidi w:val="0"/>
        <w:rPr>
          <w:rFonts w:hint="eastAsia"/>
          <w:lang w:val="en-US" w:eastAsia="zh-CN"/>
        </w:rPr>
      </w:pPr>
      <w:r>
        <w:rPr>
          <w:rFonts w:hint="eastAsia"/>
          <w:lang w:val="en-US" w:eastAsia="zh-CN"/>
        </w:rPr>
        <w:t>临沧市地方标准</w:t>
      </w:r>
    </w:p>
    <w:p w14:paraId="48BA4FD1">
      <w:pPr>
        <w:pStyle w:val="44"/>
        <w:bidi w:val="0"/>
        <w:rPr>
          <w:rFonts w:hint="eastAsia"/>
          <w:lang w:val="en-US" w:eastAsia="zh-CN"/>
        </w:rPr>
      </w:pPr>
      <w:bookmarkStart w:id="0" w:name="StandNo"/>
      <w:r>
        <w:rPr>
          <w:rFonts w:hint="eastAsia" w:ascii="黑体" w:hAnsi="Times New Roman" w:eastAsia="黑体" w:cs="Times New Roman"/>
          <w:sz w:val="28"/>
          <w:lang w:val="en-US" w:eastAsia="zh-CN"/>
        </w:rPr>
        <w:fldChar w:fldCharType="begin">
          <w:ffData>
            <w:name w:val="StandNo"/>
            <w:enabled/>
            <w:calcOnExit w:val="0"/>
            <w:textInput>
              <w:default w:val="DB5309/T XXX—XXXX"/>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DB5309/T XXX—XXXX</w:t>
      </w:r>
      <w:r>
        <w:rPr>
          <w:rFonts w:hint="eastAsia" w:ascii="黑体" w:hAnsi="Times New Roman" w:eastAsia="黑体" w:cs="Times New Roman"/>
          <w:sz w:val="28"/>
          <w:lang w:val="en-US" w:eastAsia="zh-CN"/>
        </w:rPr>
        <w:fldChar w:fldCharType="end"/>
      </w:r>
      <w:bookmarkEnd w:id="0"/>
    </w:p>
    <w:p w14:paraId="1BF822D0">
      <w:pPr>
        <w:pStyle w:val="43"/>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1E77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516AB582">
            <w:pPr>
              <w:pStyle w:val="38"/>
              <w:widowControl w:val="0"/>
              <w:bidi w:val="0"/>
              <w:jc w:val="both"/>
              <w:rPr>
                <w:rFonts w:hint="eastAsia"/>
                <w:sz w:val="10"/>
                <w:vertAlign w:val="baseline"/>
                <w:lang w:val="en-US" w:eastAsia="zh-CN"/>
              </w:rPr>
            </w:pPr>
          </w:p>
        </w:tc>
      </w:tr>
    </w:tbl>
    <w:p w14:paraId="3BAA2F3E">
      <w:pPr>
        <w:pStyle w:val="45"/>
        <w:bidi w:val="0"/>
        <w:rPr>
          <w:rFonts w:hint="eastAsia"/>
          <w:lang w:val="en-US" w:eastAsia="zh-CN"/>
        </w:rPr>
      </w:pPr>
      <w:bookmarkStart w:id="2" w:name="StdName"/>
      <w:r>
        <w:rPr>
          <w:rFonts w:hint="eastAsia" w:ascii="黑体" w:hAnsi="Times New Roman" w:eastAsia="黑体" w:cs="Times New Roman"/>
          <w:sz w:val="52"/>
          <w:lang w:val="en-US" w:eastAsia="zh-CN"/>
        </w:rPr>
        <w:fldChar w:fldCharType="begin">
          <w:ffData>
            <w:name w:val="StdName"/>
            <w:enabled/>
            <w:calcOnExit w:val="0"/>
            <w:textInput>
              <w:default w:val="临沧坚果包装储运技术规范"/>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临沧坚果包装储运技术</w:t>
      </w:r>
      <w:r>
        <w:rPr>
          <w:rFonts w:hint="eastAsia" w:hAnsi="Times New Roman" w:cs="Times New Roman"/>
          <w:sz w:val="52"/>
          <w:lang w:val="en-US" w:eastAsia="zh-CN"/>
        </w:rPr>
        <w:t>规程</w:t>
      </w:r>
      <w:r>
        <w:rPr>
          <w:rFonts w:hint="eastAsia" w:ascii="黑体" w:hAnsi="Times New Roman" w:eastAsia="黑体" w:cs="Times New Roman"/>
          <w:sz w:val="52"/>
          <w:lang w:val="en-US" w:eastAsia="zh-CN"/>
        </w:rPr>
        <w:fldChar w:fldCharType="end"/>
      </w:r>
      <w:bookmarkEnd w:id="2"/>
    </w:p>
    <w:p w14:paraId="23BA649B">
      <w:pPr>
        <w:pStyle w:val="48"/>
        <w:bidi w:val="0"/>
        <w:spacing w:after="0"/>
        <w:rPr>
          <w:rFonts w:hint="eastAsia"/>
          <w:lang w:val="en-US" w:eastAsia="zh-CN"/>
        </w:rPr>
      </w:pPr>
      <w:r>
        <w:rPr>
          <w:rFonts w:hint="eastAsia"/>
          <w:lang w:val="en-US" w:eastAsia="zh-CN"/>
        </w:rPr>
        <w:fldChar w:fldCharType="begin">
          <w:ffData>
            <w:name w:val="LB"/>
            <w:enabled/>
            <w:calcOnExit w:val="0"/>
            <w:ddList>
              <w:result w:val="2"/>
              <w:default w:val="2"/>
              <w:listEntry w:val="     "/>
              <w:listEntry w:val="草案版次选择"/>
              <w:listEntry w:val="（工作组讨论稿）"/>
              <w:listEntry w:val="（征求意见稿）"/>
              <w:listEntry w:val="（送审讨论稿）"/>
              <w:listEntry w:val="（送审稿）"/>
              <w:listEntry w:val="（报批稿）"/>
            </w:ddList>
          </w:ffData>
        </w:fldChar>
      </w:r>
      <w:bookmarkStart w:id="3"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3"/>
    </w:p>
    <w:p w14:paraId="1E269EE3">
      <w:pPr>
        <w:pStyle w:val="49"/>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4"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4"/>
    </w:p>
    <w:p w14:paraId="1B85C41E">
      <w:pPr>
        <w:pStyle w:val="50"/>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5"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5"/>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1E5E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47AE1B00">
            <w:pPr>
              <w:pStyle w:val="42"/>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6"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6"/>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7"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8"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发布</w:t>
            </w:r>
          </w:p>
        </w:tc>
        <w:tc>
          <w:tcPr>
            <w:tcW w:w="4945" w:type="dxa"/>
            <w:tcBorders>
              <w:bottom w:val="single" w:color="auto" w:sz="8" w:space="0"/>
            </w:tcBorders>
            <w:tcMar>
              <w:right w:w="57" w:type="dxa"/>
            </w:tcMar>
          </w:tcPr>
          <w:p w14:paraId="6050D085">
            <w:pPr>
              <w:pStyle w:val="42"/>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9"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0"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1"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1"/>
            <w:r>
              <w:rPr>
                <w:rFonts w:hint="eastAsia"/>
                <w:vertAlign w:val="baseline"/>
                <w:lang w:val="en-US" w:eastAsia="zh-CN"/>
              </w:rPr>
              <w:t xml:space="preserve"> 实施</w:t>
            </w:r>
          </w:p>
        </w:tc>
      </w:tr>
    </w:tbl>
    <w:p w14:paraId="732BE101">
      <w:pPr>
        <w:pStyle w:val="52"/>
        <w:bidi w:val="0"/>
        <w:spacing w:before="0"/>
        <w:rPr>
          <w:rFonts w:hint="eastAsia"/>
          <w:spacing w:val="0"/>
          <w:w w:val="100"/>
          <w:sz w:val="28"/>
          <w:lang w:val="en-US" w:eastAsia="zh-CN"/>
        </w:rPr>
      </w:pPr>
      <w:r>
        <w:rPr>
          <w:rFonts w:hint="eastAsia"/>
          <w:lang w:val="en-US" w:eastAsia="zh-CN"/>
        </w:rPr>
        <w:t>临沧市市场监督管理局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4278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3" w:type="dxa"/>
          </w:tcPr>
          <w:p w14:paraId="170B19B1">
            <w:pPr>
              <w:pStyle w:val="56"/>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1C91E2BF">
            <w:pPr>
              <w:pStyle w:val="56"/>
              <w:framePr w:w="9639" w:wrap="around"/>
              <w:bidi w:val="0"/>
              <w:jc w:val="both"/>
              <w:rPr>
                <w:rFonts w:hint="default"/>
                <w:vertAlign w:val="baseline"/>
                <w:lang w:val="en-US" w:eastAsia="zh-CN"/>
              </w:rPr>
            </w:pPr>
            <w:r>
              <w:rPr>
                <w:rFonts w:hint="eastAsia"/>
                <w:vertAlign w:val="baseline"/>
                <w:lang w:val="en-US" w:eastAsia="zh-CN"/>
              </w:rPr>
              <w:t>65.020.01</w:t>
            </w:r>
          </w:p>
        </w:tc>
      </w:tr>
      <w:tr w14:paraId="33A9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54ED266A">
            <w:pPr>
              <w:pStyle w:val="56"/>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56FA8D5F">
            <w:pPr>
              <w:pStyle w:val="56"/>
              <w:framePr w:w="9639" w:wrap="around"/>
              <w:bidi w:val="0"/>
              <w:jc w:val="both"/>
              <w:rPr>
                <w:rFonts w:hint="default"/>
                <w:vertAlign w:val="baseline"/>
                <w:lang w:val="en-US" w:eastAsia="zh-CN"/>
              </w:rPr>
            </w:pPr>
            <w:r>
              <w:rPr>
                <w:rFonts w:hint="eastAsia"/>
                <w:vertAlign w:val="baseline"/>
                <w:lang w:val="en-US" w:eastAsia="zh-CN"/>
              </w:rPr>
              <w:t>B08</w:t>
            </w:r>
          </w:p>
          <w:tbl>
            <w:tblPr>
              <w:tblStyle w:val="22"/>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0886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14:paraId="3A7A8920">
                  <w:pPr>
                    <w:pStyle w:val="56"/>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9525" b="1206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9"/>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5309</w:t>
                  </w:r>
                </w:p>
              </w:tc>
            </w:tr>
          </w:tbl>
          <w:p w14:paraId="4D1D9195">
            <w:pPr>
              <w:pStyle w:val="56"/>
              <w:framePr w:w="9639" w:wrap="around"/>
              <w:bidi w:val="0"/>
              <w:jc w:val="both"/>
              <w:rPr>
                <w:rFonts w:hint="eastAsia"/>
                <w:vertAlign w:val="baseline"/>
                <w:lang w:val="en-US" w:eastAsia="zh-CN"/>
              </w:rPr>
            </w:pPr>
          </w:p>
        </w:tc>
      </w:tr>
    </w:tbl>
    <w:p w14:paraId="2D3CE7C5">
      <w:pPr>
        <w:pStyle w:val="56"/>
        <w:framePr w:w="9639" w:wrap="around"/>
        <w:bidi w:val="0"/>
        <w:rPr>
          <w:rFonts w:hint="eastAsia"/>
          <w:lang w:val="en-US" w:eastAsia="zh-CN"/>
        </w:rPr>
        <w:sectPr>
          <w:headerReference r:id="rId3" w:type="even"/>
          <w:footerReference r:id="rId4" w:type="even"/>
          <w:pgSz w:w="11906" w:h="16838"/>
          <w:pgMar w:top="-340" w:right="1134" w:bottom="1021" w:left="1134" w:header="0" w:footer="0" w:gutter="284"/>
          <w:lnNumType w:countBy="0" w:restart="continuous"/>
          <w:pgNumType w:fmt="upperRoman" w:start="1"/>
          <w:cols w:space="425" w:num="1"/>
          <w:formProt w:val="1"/>
          <w:titlePg/>
          <w:docGrid w:type="lines" w:linePitch="312" w:charSpace="0"/>
        </w:sectPr>
      </w:pPr>
    </w:p>
    <w:p w14:paraId="255FF25C">
      <w:pPr>
        <w:pStyle w:val="58"/>
        <w:bidi w:val="0"/>
        <w:rPr>
          <w:rFonts w:hint="eastAsia"/>
          <w:lang w:val="en-US" w:eastAsia="zh-CN"/>
        </w:rPr>
      </w:pPr>
      <w:r>
        <w:rPr>
          <w:rFonts w:hint="eastAsia"/>
          <w:spacing w:val="317"/>
          <w:lang w:val="en-US" w:eastAsia="zh-CN"/>
        </w:rPr>
        <w:t>前</w:t>
      </w:r>
      <w:bookmarkStart w:id="12" w:name="BKQY"/>
      <w:r>
        <w:rPr>
          <w:rFonts w:hint="eastAsia"/>
          <w:lang w:val="en-US" w:eastAsia="zh-CN"/>
        </w:rPr>
        <w:t>言</w:t>
      </w:r>
    </w:p>
    <w:p w14:paraId="63D18309">
      <w:pPr>
        <w:pStyle w:val="28"/>
        <w:bidi w:val="0"/>
        <w:rPr>
          <w:rFonts w:hint="eastAsia"/>
          <w:lang w:val="en-US" w:eastAsia="zh-CN"/>
        </w:rPr>
      </w:pPr>
      <w:r>
        <w:rPr>
          <w:rFonts w:hint="eastAsia"/>
          <w:lang w:val="en-US" w:eastAsia="zh-CN"/>
        </w:rPr>
        <w:t>本文件按照GB/T 1.1—2020《标准化工作导则  第1部分：标准化文件的结构和起草规则》的规定起草。</w:t>
      </w:r>
    </w:p>
    <w:p w14:paraId="523DCDD0">
      <w:pPr>
        <w:pStyle w:val="28"/>
        <w:bidi w:val="0"/>
        <w:rPr>
          <w:rFonts w:hint="eastAsia"/>
        </w:rPr>
      </w:pPr>
      <w:r>
        <w:rPr>
          <w:rFonts w:hint="eastAsia"/>
          <w:lang w:val="en-US" w:eastAsia="zh-CN"/>
        </w:rPr>
        <w:t>请注意本文件的某些内容可能涉及专利。本文件的发布机构不承担识别专利的责任。</w:t>
      </w:r>
    </w:p>
    <w:p w14:paraId="7B43B9CF">
      <w:pPr>
        <w:pStyle w:val="124"/>
        <w:ind w:firstLine="420"/>
        <w:rPr>
          <w:rFonts w:hint="eastAsia"/>
          <w:lang w:eastAsia="zh-CN"/>
        </w:rPr>
      </w:pPr>
      <w:r>
        <w:rPr>
          <w:rFonts w:hint="eastAsia"/>
        </w:rPr>
        <w:t>本文件由临沧市</w:t>
      </w:r>
      <w:r>
        <w:rPr>
          <w:rFonts w:hint="eastAsia"/>
          <w:lang w:val="en-US" w:eastAsia="zh-CN"/>
        </w:rPr>
        <w:t>检验检测认证院</w:t>
      </w:r>
      <w:r>
        <w:rPr>
          <w:rFonts w:hint="eastAsia"/>
        </w:rPr>
        <w:t>提出</w:t>
      </w:r>
      <w:r>
        <w:rPr>
          <w:rFonts w:hint="eastAsia"/>
          <w:lang w:eastAsia="zh-CN"/>
        </w:rPr>
        <w:t>。</w:t>
      </w:r>
    </w:p>
    <w:p w14:paraId="28486AA3">
      <w:pPr>
        <w:pStyle w:val="124"/>
        <w:ind w:firstLine="420"/>
        <w:rPr>
          <w:rFonts w:hint="eastAsia"/>
        </w:rPr>
      </w:pPr>
      <w:r>
        <w:rPr>
          <w:rFonts w:hint="eastAsia"/>
          <w:lang w:val="en-US" w:eastAsia="zh-CN"/>
        </w:rPr>
        <w:t>本文件由临沧市林业和草原局</w:t>
      </w:r>
      <w:r>
        <w:rPr>
          <w:rFonts w:hint="eastAsia"/>
        </w:rPr>
        <w:t>归口。</w:t>
      </w:r>
    </w:p>
    <w:p w14:paraId="269C14DD">
      <w:pPr>
        <w:pStyle w:val="124"/>
        <w:ind w:firstLine="420"/>
        <w:rPr>
          <w:rFonts w:hint="eastAsia"/>
        </w:rPr>
      </w:pPr>
      <w:r>
        <w:rPr>
          <w:rFonts w:hint="eastAsia"/>
        </w:rPr>
        <w:t>本文件起草单位：临沧市检验检测认证院、孟定海关综合技术中心、临沧市林业科学院、临沧市可持续发展创新中心、云南木本油料（核桃）全产业链创新研究院、临沧市乡村产业发展集团有限公司、临沧工投顺宁坚果开发有限公司、镇康云品实业发展有限公司、云县双强农业开发有限公司、永德县雪澳坚果加工厂、镇康县众裕农业开发有限公司、镇康县田坝澳洲坚果种植专业合作社、云南林江农业发展有限责任公司。</w:t>
      </w:r>
    </w:p>
    <w:p w14:paraId="3143FDD3">
      <w:pPr>
        <w:pStyle w:val="124"/>
        <w:ind w:firstLine="420"/>
        <w:rPr>
          <w:rFonts w:hint="eastAsia"/>
        </w:rPr>
      </w:pPr>
      <w:r>
        <w:rPr>
          <w:rFonts w:hint="eastAsia"/>
        </w:rPr>
        <w:t xml:space="preserve">本文件主要起草人： </w:t>
      </w:r>
      <w:r>
        <w:rPr>
          <w:rFonts w:hint="eastAsia"/>
          <w:lang w:val="en-US" w:eastAsia="zh-CN"/>
        </w:rPr>
        <w:t xml:space="preserve">  </w:t>
      </w:r>
      <w:r>
        <w:rPr>
          <w:rFonts w:hint="eastAsia"/>
        </w:rPr>
        <w:t xml:space="preserve">                                   </w:t>
      </w:r>
    </w:p>
    <w:p w14:paraId="210DFAFA">
      <w:pPr>
        <w:pStyle w:val="28"/>
        <w:bidi w:val="0"/>
        <w:rPr>
          <w:rFonts w:hint="eastAsia"/>
          <w:lang w:val="en-US" w:eastAsia="zh-CN"/>
        </w:rPr>
      </w:pPr>
    </w:p>
    <w:bookmarkEnd w:id="12"/>
    <w:p w14:paraId="210DA17C">
      <w:pPr>
        <w:rPr>
          <w:rFonts w:hint="eastAsia"/>
          <w:lang w:val="en-US" w:eastAsia="zh-CN"/>
        </w:rPr>
      </w:pPr>
    </w:p>
    <w:p w14:paraId="65C49862">
      <w:pPr>
        <w:rPr>
          <w:rFonts w:hint="eastAsia"/>
          <w:lang w:val="en-US" w:eastAsia="zh-CN"/>
        </w:rPr>
      </w:pPr>
    </w:p>
    <w:p w14:paraId="79A62F68">
      <w:pPr>
        <w:rPr>
          <w:rFonts w:hint="eastAsia"/>
          <w:lang w:val="en-US" w:eastAsia="zh-CN"/>
        </w:rPr>
        <w:sectPr>
          <w:headerReference r:id="rId5" w:type="default"/>
          <w:footerReference r:id="rId6" w:type="default"/>
          <w:footerReference r:id="rId7" w:type="even"/>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Style w:val="123"/>
          <w:rFonts w:hint="eastAsia"/>
          <w:lang w:val="en-US" w:eastAsia="zh-CN"/>
        </w:rPr>
        <w:tag w:val="StandardName"/>
        <w:id w:val="147463507"/>
        <w:lock w:val="sdtLocked"/>
        <w:placeholder>
          <w:docPart w:val="{f7802b54-eb0c-41d4-b24a-2eb7cedafe79}"/>
        </w:placeholder>
      </w:sdtPr>
      <w:sdtEndPr>
        <w:rPr>
          <w:rStyle w:val="123"/>
          <w:rFonts w:hint="eastAsia"/>
          <w:lang w:val="en-US" w:eastAsia="zh-CN"/>
        </w:rPr>
      </w:sdtEndPr>
      <w:sdtContent>
        <w:p w14:paraId="569BE70F">
          <w:pPr>
            <w:pStyle w:val="59"/>
            <w:bidi w:val="0"/>
            <w:rPr>
              <w:rStyle w:val="123"/>
              <w:rFonts w:hint="eastAsia"/>
              <w:lang w:val="en-US" w:eastAsia="zh-CN"/>
            </w:rPr>
          </w:pPr>
          <w:bookmarkStart w:id="13" w:name="StandardName"/>
          <w:r>
            <w:rPr>
              <w:rStyle w:val="123"/>
              <w:rFonts w:hint="eastAsia"/>
              <w:lang w:val="en-US" w:eastAsia="zh-CN"/>
            </w:rPr>
            <w:t>临沧坚果包装储运技术规程</w:t>
          </w:r>
          <w:bookmarkEnd w:id="13"/>
        </w:p>
      </w:sdtContent>
    </w:sdt>
    <w:p w14:paraId="1B6D9F82">
      <w:pPr>
        <w:pStyle w:val="75"/>
        <w:bidi w:val="0"/>
        <w:rPr>
          <w:rStyle w:val="123"/>
          <w:rFonts w:hint="eastAsia"/>
          <w:lang w:val="en-US" w:eastAsia="zh-CN"/>
        </w:rPr>
      </w:pPr>
      <w:r>
        <w:rPr>
          <w:rFonts w:hint="eastAsia"/>
          <w:lang w:val="en-US" w:eastAsia="zh-CN"/>
        </w:rPr>
        <w:t>范围</w:t>
      </w:r>
      <w:bookmarkStart w:id="39" w:name="_GoBack"/>
      <w:bookmarkEnd w:id="39"/>
    </w:p>
    <w:p w14:paraId="6E99D344">
      <w:pPr>
        <w:pStyle w:val="124"/>
        <w:ind w:firstLine="420"/>
        <w:rPr>
          <w:rFonts w:hint="eastAsia"/>
          <w:lang w:val="en-US" w:eastAsia="zh-CN"/>
        </w:rPr>
      </w:pPr>
      <w:r>
        <w:rPr>
          <w:rFonts w:hint="eastAsia"/>
          <w:lang w:val="en-US" w:eastAsia="zh-CN"/>
        </w:rPr>
        <w:t>本文件规定了临沧坚果包装、储藏和运输的术语和定义、基本要求、包装、标识、贮存、运输、电子商务产品及相关记录等内容。</w:t>
      </w:r>
    </w:p>
    <w:p w14:paraId="27CF08A8">
      <w:pPr>
        <w:pStyle w:val="124"/>
        <w:ind w:firstLine="420"/>
        <w:rPr>
          <w:rFonts w:hint="eastAsia"/>
          <w:lang w:val="en-US" w:eastAsia="zh-CN"/>
        </w:rPr>
      </w:pPr>
      <w:r>
        <w:rPr>
          <w:rFonts w:hint="eastAsia"/>
          <w:lang w:val="en-US" w:eastAsia="zh-CN"/>
        </w:rPr>
        <w:t>本文件适用于临沧坚果壳果、开口壳果和果仁的包装、标识、贮存和运输。</w:t>
      </w:r>
    </w:p>
    <w:p w14:paraId="7D7D3506">
      <w:pPr>
        <w:pStyle w:val="75"/>
        <w:bidi w:val="0"/>
        <w:rPr>
          <w:rFonts w:hint="eastAsia"/>
          <w:lang w:val="en-US" w:eastAsia="zh-CN"/>
        </w:rPr>
      </w:pPr>
      <w:r>
        <w:rPr>
          <w:rFonts w:hint="eastAsia"/>
          <w:lang w:val="en-US" w:eastAsia="zh-CN"/>
        </w:rPr>
        <w:t>规范性引用文件</w:t>
      </w:r>
    </w:p>
    <w:sdt>
      <w:sdtPr>
        <w:rPr>
          <w:rFonts w:hint="eastAsia" w:ascii="宋体" w:hAnsi="Times New Roman" w:eastAsia="宋体" w:cs="宋体"/>
          <w:sz w:val="21"/>
          <w:lang w:val="en-US" w:eastAsia="zh-CN"/>
        </w:rPr>
        <w:tag w:val="StandNameFile"/>
        <w:id w:val="147477812"/>
        <w:placeholder>
          <w:docPart w:val="{3114a6a4-dd80-4931-8e3f-29bafb5abd85}"/>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7A1F8531">
          <w:pPr>
            <w:pStyle w:val="28"/>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B695CB">
      <w:pPr>
        <w:pStyle w:val="28"/>
        <w:rPr>
          <w:rFonts w:hint="eastAsia"/>
        </w:rPr>
      </w:pPr>
      <w:bookmarkStart w:id="14" w:name="OLE_LINK15"/>
      <w:r>
        <w:rPr>
          <w:rFonts w:hint="eastAsia"/>
        </w:rPr>
        <w:t>GB</w:t>
      </w:r>
      <w:r>
        <w:rPr>
          <w:rFonts w:hint="eastAsia"/>
          <w:lang w:val="en-US" w:eastAsia="zh-CN"/>
        </w:rPr>
        <w:t>/</w:t>
      </w:r>
      <w:r>
        <w:rPr>
          <w:rFonts w:hint="eastAsia"/>
        </w:rPr>
        <w:t>T</w:t>
      </w:r>
      <w:r>
        <w:rPr>
          <w:rFonts w:hint="eastAsia"/>
          <w:lang w:val="en-US" w:eastAsia="zh-CN"/>
        </w:rPr>
        <w:t xml:space="preserve"> </w:t>
      </w:r>
      <w:r>
        <w:rPr>
          <w:rFonts w:hint="eastAsia"/>
        </w:rPr>
        <w:t>191</w:t>
      </w:r>
      <w:bookmarkEnd w:id="14"/>
      <w:r>
        <w:rPr>
          <w:rFonts w:hint="eastAsia"/>
        </w:rPr>
        <w:t xml:space="preserve"> 包装储运图示标志</w:t>
      </w:r>
    </w:p>
    <w:p w14:paraId="62206F0D">
      <w:pPr>
        <w:pStyle w:val="28"/>
        <w:rPr>
          <w:rFonts w:hint="eastAsia"/>
        </w:rPr>
      </w:pPr>
      <w:r>
        <w:rPr>
          <w:rFonts w:hint="eastAsia"/>
        </w:rPr>
        <w:t>GB 4806.</w:t>
      </w:r>
      <w:r>
        <w:rPr>
          <w:rFonts w:hint="eastAsia"/>
          <w:lang w:val="en-US" w:eastAsia="zh-CN"/>
        </w:rPr>
        <w:t>1</w:t>
      </w:r>
      <w:r>
        <w:rPr>
          <w:rFonts w:hint="eastAsia"/>
        </w:rPr>
        <w:t xml:space="preserve"> 食品安全国家标准 </w:t>
      </w:r>
      <w:r>
        <w:t>食品接触材料及制品通用安全要求</w:t>
      </w:r>
    </w:p>
    <w:p w14:paraId="57B80605">
      <w:pPr>
        <w:pStyle w:val="28"/>
        <w:rPr>
          <w:rFonts w:hint="eastAsia"/>
        </w:rPr>
      </w:pPr>
      <w:r>
        <w:rPr>
          <w:rFonts w:hint="eastAsia"/>
        </w:rPr>
        <w:t>GB 4806.7 食品安全国家标准 食品接触用塑料材料及制品</w:t>
      </w:r>
    </w:p>
    <w:p w14:paraId="168AAD42">
      <w:pPr>
        <w:pStyle w:val="28"/>
        <w:rPr>
          <w:rFonts w:hint="eastAsia"/>
        </w:rPr>
      </w:pPr>
      <w:r>
        <w:rPr>
          <w:rFonts w:hint="eastAsia"/>
        </w:rPr>
        <w:t>GB 4806.8 食品安全国家标准 食品接触用纸和纸板材料及制品</w:t>
      </w:r>
    </w:p>
    <w:p w14:paraId="76A34672">
      <w:pPr>
        <w:pStyle w:val="28"/>
        <w:rPr>
          <w:rFonts w:hint="default"/>
          <w:lang w:val="en-US" w:eastAsia="zh-CN"/>
        </w:rPr>
      </w:pPr>
      <w:r>
        <w:rPr>
          <w:rFonts w:hint="eastAsia"/>
        </w:rPr>
        <w:t>GB/T</w:t>
      </w:r>
      <w:r>
        <w:rPr>
          <w:rFonts w:hint="eastAsia"/>
          <w:lang w:val="en-US" w:eastAsia="zh-CN"/>
        </w:rPr>
        <w:t xml:space="preserve"> </w:t>
      </w:r>
      <w:r>
        <w:rPr>
          <w:rFonts w:hint="eastAsia"/>
        </w:rPr>
        <w:t>6388</w:t>
      </w:r>
      <w:r>
        <w:rPr>
          <w:rFonts w:hint="eastAsia"/>
          <w:lang w:val="en-US" w:eastAsia="zh-CN"/>
        </w:rPr>
        <w:t xml:space="preserve"> 运输包装收发货标准</w:t>
      </w:r>
    </w:p>
    <w:p w14:paraId="7E20E967">
      <w:pPr>
        <w:pStyle w:val="28"/>
      </w:pPr>
      <w:r>
        <w:rPr>
          <w:rFonts w:hint="eastAsia"/>
        </w:rPr>
        <w:t>GB</w:t>
      </w:r>
      <w:r>
        <w:rPr>
          <w:rFonts w:hint="eastAsia"/>
          <w:lang w:val="en-US" w:eastAsia="zh-CN"/>
        </w:rPr>
        <w:t xml:space="preserve"> </w:t>
      </w:r>
      <w:r>
        <w:rPr>
          <w:rFonts w:hint="eastAsia"/>
        </w:rPr>
        <w:t>7718 食品安全国家标准 预包装食品标签通则</w:t>
      </w:r>
    </w:p>
    <w:p w14:paraId="3DD08FD9">
      <w:pPr>
        <w:pStyle w:val="28"/>
        <w:rPr>
          <w:rFonts w:hint="eastAsia"/>
        </w:rPr>
      </w:pPr>
      <w:r>
        <w:rPr>
          <w:rFonts w:hint="eastAsia"/>
        </w:rPr>
        <w:t>GB/T 8946 塑料编织袋通用技术要求</w:t>
      </w:r>
    </w:p>
    <w:p w14:paraId="374ED109">
      <w:pPr>
        <w:pStyle w:val="28"/>
        <w:rPr>
          <w:rFonts w:hint="eastAsia"/>
        </w:rPr>
      </w:pPr>
      <w:bookmarkStart w:id="15" w:name="OLE_LINK10"/>
      <w:r>
        <w:rPr>
          <w:rFonts w:hint="eastAsia"/>
        </w:rPr>
        <w:t>GB 14881</w:t>
      </w:r>
      <w:bookmarkEnd w:id="15"/>
      <w:r>
        <w:rPr>
          <w:rFonts w:hint="eastAsia"/>
          <w:lang w:val="en-US" w:eastAsia="zh-CN"/>
        </w:rPr>
        <w:t xml:space="preserve"> </w:t>
      </w:r>
      <w:r>
        <w:rPr>
          <w:rFonts w:hint="eastAsia"/>
        </w:rPr>
        <w:t>食品安全国家标准 食品生产通用卫生规范</w:t>
      </w:r>
    </w:p>
    <w:p w14:paraId="4A9FF3C3">
      <w:pPr>
        <w:pStyle w:val="28"/>
        <w:rPr>
          <w:rFonts w:hint="default"/>
          <w:lang w:val="en-US" w:eastAsia="zh-CN"/>
        </w:rPr>
      </w:pPr>
      <w:r>
        <w:rPr>
          <w:rFonts w:hint="eastAsia"/>
        </w:rPr>
        <w:t>GB/T 18455</w:t>
      </w:r>
      <w:r>
        <w:rPr>
          <w:rFonts w:hint="eastAsia"/>
          <w:lang w:val="en-US" w:eastAsia="zh-CN"/>
        </w:rPr>
        <w:t xml:space="preserve"> 包装回收标志</w:t>
      </w:r>
    </w:p>
    <w:p w14:paraId="055E8CC5">
      <w:pPr>
        <w:pStyle w:val="28"/>
        <w:rPr>
          <w:rFonts w:hint="eastAsia"/>
        </w:rPr>
      </w:pPr>
      <w:r>
        <w:rPr>
          <w:rFonts w:hint="eastAsia"/>
        </w:rPr>
        <w:t>G</w:t>
      </w:r>
      <w:r>
        <w:rPr>
          <w:rFonts w:hint="eastAsia"/>
          <w:lang w:val="en-US" w:eastAsia="zh-CN"/>
        </w:rPr>
        <w:t xml:space="preserve">B </w:t>
      </w:r>
      <w:r>
        <w:rPr>
          <w:rFonts w:hint="eastAsia"/>
        </w:rPr>
        <w:t>23350</w:t>
      </w:r>
      <w:r>
        <w:rPr>
          <w:rFonts w:hint="eastAsia"/>
          <w:lang w:val="en-US" w:eastAsia="zh-CN"/>
        </w:rPr>
        <w:t xml:space="preserve"> 限制商品过度包装要求 食品和化妆品</w:t>
      </w:r>
    </w:p>
    <w:p w14:paraId="08CB4A2D">
      <w:pPr>
        <w:pStyle w:val="28"/>
        <w:rPr>
          <w:rFonts w:hint="eastAsia"/>
        </w:rPr>
      </w:pPr>
      <w:r>
        <w:rPr>
          <w:rFonts w:hint="eastAsia"/>
        </w:rPr>
        <w:t>GB/T 28118 食品包装用塑料与铝箔复合膜、袋</w:t>
      </w:r>
    </w:p>
    <w:p w14:paraId="10F470F3">
      <w:pPr>
        <w:pStyle w:val="28"/>
        <w:rPr>
          <w:rFonts w:hint="default"/>
          <w:lang w:val="en-US" w:eastAsia="zh-CN"/>
        </w:rPr>
      </w:pPr>
      <w:r>
        <w:t>GB/T 31123</w:t>
      </w:r>
      <w:r>
        <w:rPr>
          <w:rFonts w:hint="eastAsia"/>
          <w:lang w:val="en-US" w:eastAsia="zh-CN"/>
        </w:rPr>
        <w:t xml:space="preserve">  </w:t>
      </w:r>
      <w:r>
        <w:t>固体食品包装用纸板</w:t>
      </w:r>
    </w:p>
    <w:p w14:paraId="2F1B98D3">
      <w:pPr>
        <w:pStyle w:val="28"/>
        <w:rPr>
          <w:rFonts w:hint="eastAsia"/>
        </w:rPr>
      </w:pPr>
      <w:r>
        <w:rPr>
          <w:rFonts w:hint="eastAsia"/>
        </w:rPr>
        <w:t>GB 31605 食品安全国家标准</w:t>
      </w:r>
      <w:r>
        <w:rPr>
          <w:rFonts w:hint="eastAsia"/>
          <w:lang w:val="en-US" w:eastAsia="zh-CN"/>
        </w:rPr>
        <w:t xml:space="preserve"> </w:t>
      </w:r>
      <w:r>
        <w:rPr>
          <w:rFonts w:hint="eastAsia"/>
        </w:rPr>
        <w:t>食品冷链物流卫生规范</w:t>
      </w:r>
    </w:p>
    <w:p w14:paraId="00E0DA85">
      <w:pPr>
        <w:pStyle w:val="28"/>
        <w:rPr>
          <w:rFonts w:hint="eastAsia"/>
        </w:rPr>
      </w:pPr>
      <w:r>
        <w:rPr>
          <w:rFonts w:hint="default"/>
        </w:rPr>
        <w:t>GB/T</w:t>
      </w:r>
      <w:r>
        <w:rPr>
          <w:rFonts w:hint="eastAsia"/>
          <w:lang w:val="en-US" w:eastAsia="zh-CN"/>
        </w:rPr>
        <w:t xml:space="preserve"> </w:t>
      </w:r>
      <w:r>
        <w:rPr>
          <w:rFonts w:hint="default"/>
        </w:rPr>
        <w:t>34344</w:t>
      </w:r>
      <w:r>
        <w:rPr>
          <w:rFonts w:hint="eastAsia"/>
          <w:lang w:val="en-US" w:eastAsia="zh-CN"/>
        </w:rPr>
        <w:t xml:space="preserve"> </w:t>
      </w:r>
      <w:r>
        <w:rPr>
          <w:rFonts w:hint="default"/>
        </w:rPr>
        <w:t>农产品物流包装材料通用技术要求</w:t>
      </w:r>
    </w:p>
    <w:p w14:paraId="1FF57B36">
      <w:pPr>
        <w:pStyle w:val="28"/>
        <w:bidi w:val="0"/>
        <w:rPr>
          <w:rFonts w:hint="eastAsia"/>
          <w:lang w:val="en-US" w:eastAsia="zh-CN"/>
        </w:rPr>
      </w:pPr>
      <w:bookmarkStart w:id="16" w:name="OLE_LINK34"/>
      <w:r>
        <w:rPr>
          <w:rFonts w:hint="eastAsia"/>
          <w:lang w:val="en-US" w:eastAsia="zh-CN"/>
        </w:rPr>
        <w:t>GB/T 43643</w:t>
      </w:r>
      <w:bookmarkEnd w:id="16"/>
      <w:r>
        <w:rPr>
          <w:rFonts w:hint="eastAsia"/>
          <w:lang w:val="en-US" w:eastAsia="zh-CN"/>
        </w:rPr>
        <w:t>-2024 澳洲坚果</w:t>
      </w:r>
    </w:p>
    <w:p w14:paraId="5AC072D1">
      <w:pPr>
        <w:pStyle w:val="28"/>
        <w:rPr>
          <w:rFonts w:hint="eastAsia"/>
          <w:lang w:val="en-US" w:eastAsia="zh-CN"/>
        </w:rPr>
      </w:pPr>
      <w:r>
        <w:rPr>
          <w:rFonts w:hint="default"/>
        </w:rPr>
        <w:t>GB/T 44135</w:t>
      </w:r>
      <w:r>
        <w:rPr>
          <w:rFonts w:hint="eastAsia"/>
          <w:lang w:val="en-US" w:eastAsia="zh-CN"/>
        </w:rPr>
        <w:t xml:space="preserve"> </w:t>
      </w:r>
      <w:r>
        <w:rPr>
          <w:rFonts w:hint="eastAsia"/>
        </w:rPr>
        <w:t>食品生产物料标识指南</w:t>
      </w:r>
    </w:p>
    <w:p w14:paraId="62C572A7">
      <w:pPr>
        <w:pStyle w:val="28"/>
        <w:bidi w:val="0"/>
        <w:rPr>
          <w:rFonts w:hint="eastAsia"/>
          <w:lang w:val="en-US" w:eastAsia="zh-CN"/>
        </w:rPr>
      </w:pPr>
      <w:r>
        <w:rPr>
          <w:rFonts w:hint="eastAsia"/>
          <w:lang w:val="en-US" w:eastAsia="zh-CN"/>
        </w:rPr>
        <w:t>GB 50016 建筑设计防火规范</w:t>
      </w:r>
    </w:p>
    <w:p w14:paraId="787D0C45">
      <w:pPr>
        <w:pStyle w:val="28"/>
        <w:bidi w:val="0"/>
        <w:rPr>
          <w:rFonts w:hint="default"/>
          <w:lang w:val="en-US" w:eastAsia="zh-CN"/>
        </w:rPr>
      </w:pPr>
      <w:r>
        <w:rPr>
          <w:rFonts w:hint="eastAsia"/>
          <w:lang w:val="en-US" w:eastAsia="zh-CN"/>
        </w:rPr>
        <w:t>GB 50072 冷库设计规范</w:t>
      </w:r>
    </w:p>
    <w:p w14:paraId="487F2DBA">
      <w:pPr>
        <w:pStyle w:val="28"/>
        <w:rPr>
          <w:rFonts w:hint="eastAsia"/>
        </w:rPr>
      </w:pPr>
      <w:r>
        <w:rPr>
          <w:rFonts w:hint="eastAsia"/>
        </w:rPr>
        <w:t>NY/T 658 绿色食品 包装通用准则</w:t>
      </w:r>
    </w:p>
    <w:p w14:paraId="2309433C">
      <w:pPr>
        <w:pStyle w:val="28"/>
        <w:rPr>
          <w:rFonts w:hint="eastAsia"/>
        </w:rPr>
      </w:pPr>
      <w:r>
        <w:rPr>
          <w:rFonts w:hint="eastAsia"/>
        </w:rPr>
        <w:t>NY/T</w:t>
      </w:r>
      <w:r>
        <w:rPr>
          <w:rFonts w:hint="eastAsia"/>
          <w:lang w:val="en-US" w:eastAsia="zh-CN"/>
        </w:rPr>
        <w:t xml:space="preserve"> </w:t>
      </w:r>
      <w:r>
        <w:rPr>
          <w:rFonts w:hint="eastAsia"/>
        </w:rPr>
        <w:t>1056 绿色食品 储藏运输准则</w:t>
      </w:r>
    </w:p>
    <w:p w14:paraId="3A60E28E">
      <w:pPr>
        <w:pStyle w:val="28"/>
        <w:rPr>
          <w:rFonts w:hint="eastAsia"/>
        </w:rPr>
      </w:pPr>
      <w:r>
        <w:rPr>
          <w:rFonts w:hint="eastAsia"/>
        </w:rPr>
        <w:t>JJF 1070 定量包装商品净含量计量检验规则</w:t>
      </w:r>
    </w:p>
    <w:p w14:paraId="05AE894B">
      <w:pPr>
        <w:pStyle w:val="28"/>
        <w:rPr>
          <w:rFonts w:hint="default"/>
          <w:lang w:val="en-US" w:eastAsia="zh-CN"/>
        </w:rPr>
      </w:pPr>
      <w:r>
        <w:rPr>
          <w:rFonts w:hint="default"/>
          <w:lang w:val="en-US" w:eastAsia="zh-CN"/>
        </w:rPr>
        <w:t>QB/T</w:t>
      </w:r>
      <w:r>
        <w:rPr>
          <w:rFonts w:hint="eastAsia"/>
          <w:lang w:val="en-US" w:eastAsia="zh-CN"/>
        </w:rPr>
        <w:t xml:space="preserve"> </w:t>
      </w:r>
      <w:r>
        <w:rPr>
          <w:rFonts w:hint="default"/>
          <w:lang w:val="en-US" w:eastAsia="zh-CN"/>
        </w:rPr>
        <w:t>5486</w:t>
      </w:r>
      <w:r>
        <w:rPr>
          <w:rFonts w:hint="eastAsia"/>
          <w:lang w:val="en-US" w:eastAsia="zh-CN"/>
        </w:rPr>
        <w:t xml:space="preserve"> </w:t>
      </w:r>
      <w:r>
        <w:rPr>
          <w:rFonts w:hint="default"/>
          <w:lang w:val="en-US" w:eastAsia="zh-CN"/>
        </w:rPr>
        <w:t>坚果与籽类食品贮存技术规范</w:t>
      </w:r>
    </w:p>
    <w:p w14:paraId="58E0D860">
      <w:pPr>
        <w:pStyle w:val="28"/>
        <w:rPr>
          <w:rFonts w:hint="default"/>
          <w:lang w:val="en-US" w:eastAsia="zh-CN"/>
        </w:rPr>
      </w:pPr>
      <w:r>
        <w:rPr>
          <w:rFonts w:hint="eastAsia"/>
          <w:lang w:val="en-US" w:eastAsia="zh-CN"/>
        </w:rPr>
        <w:t xml:space="preserve">SB/T 11132 </w:t>
      </w:r>
      <w:r>
        <w:rPr>
          <w:rFonts w:hint="default"/>
          <w:lang w:val="en-US" w:eastAsia="zh-CN"/>
        </w:rPr>
        <w:t>电子商务物流服务规范</w:t>
      </w:r>
    </w:p>
    <w:p w14:paraId="181B5202">
      <w:pPr>
        <w:pStyle w:val="28"/>
        <w:rPr>
          <w:rFonts w:hint="default"/>
          <w:lang w:val="en-US" w:eastAsia="zh-CN"/>
        </w:rPr>
      </w:pPr>
      <w:r>
        <w:t>XF 480</w:t>
      </w:r>
      <w:r>
        <w:rPr>
          <w:rFonts w:hint="eastAsia"/>
          <w:lang w:val="en-US" w:eastAsia="zh-CN"/>
        </w:rPr>
        <w:t xml:space="preserve">  </w:t>
      </w:r>
      <w:r>
        <w:rPr>
          <w:rFonts w:hint="default"/>
          <w:lang w:val="en-US" w:eastAsia="zh-CN"/>
        </w:rPr>
        <w:t>消防安全标志牌</w:t>
      </w:r>
    </w:p>
    <w:p w14:paraId="0CA262D7">
      <w:pPr>
        <w:pStyle w:val="28"/>
        <w:rPr>
          <w:rFonts w:hint="default"/>
          <w:lang w:val="en-US" w:eastAsia="zh-CN"/>
        </w:rPr>
      </w:pPr>
      <w:r>
        <w:rPr>
          <w:rFonts w:hint="eastAsia"/>
          <w:lang w:val="en-US" w:eastAsia="zh-CN"/>
        </w:rPr>
        <w:t>DB5309</w:t>
      </w:r>
      <w:r>
        <w:rPr>
          <w:rFonts w:hint="eastAsia"/>
        </w:rPr>
        <w:t>/T</w:t>
      </w:r>
      <w:r>
        <w:rPr>
          <w:rFonts w:hint="eastAsia"/>
          <w:lang w:val="en-US" w:eastAsia="zh-CN"/>
        </w:rPr>
        <w:t xml:space="preserve"> ****  </w:t>
      </w:r>
      <w:r>
        <w:rPr>
          <w:rFonts w:hint="default"/>
          <w:lang w:val="en-US" w:eastAsia="zh-CN"/>
        </w:rPr>
        <w:t>“临沧坚果”区域公用品牌培育指南</w:t>
      </w:r>
    </w:p>
    <w:p w14:paraId="28CB928E">
      <w:pPr>
        <w:pStyle w:val="75"/>
        <w:bidi w:val="0"/>
        <w:rPr>
          <w:rFonts w:hint="eastAsia" w:ascii="宋体" w:hAnsi="Times New Roman" w:eastAsia="宋体" w:cs="宋体"/>
          <w:lang w:val="en-US" w:eastAsia="zh-CN"/>
        </w:rPr>
      </w:pPr>
      <w:r>
        <w:rPr>
          <w:rFonts w:hint="eastAsia"/>
          <w:lang w:val="en-US" w:eastAsia="zh-CN"/>
        </w:rPr>
        <w:t>术语和定义</w:t>
      </w:r>
    </w:p>
    <w:p w14:paraId="54C4C73C">
      <w:pPr>
        <w:pStyle w:val="28"/>
        <w:rPr>
          <w:rFonts w:hint="eastAsia"/>
          <w:lang w:val="en-US" w:eastAsia="zh-CN"/>
        </w:rPr>
      </w:pPr>
      <w:r>
        <w:rPr>
          <w:rFonts w:hint="eastAsia"/>
          <w:lang w:val="en-US" w:eastAsia="zh-CN"/>
        </w:rPr>
        <w:t xml:space="preserve"> </w:t>
      </w:r>
      <w:sdt>
        <w:sdtPr>
          <w:rPr>
            <w:rFonts w:hint="default" w:ascii="宋体" w:hAnsi="Times New Roman" w:eastAsia="宋体" w:cs="宋体"/>
            <w:sz w:val="21"/>
            <w:lang w:val="en-US" w:eastAsia="zh-CN"/>
          </w:rPr>
          <w:tag w:val="TermContent"/>
          <w:id w:val="147463572"/>
          <w:placeholder>
            <w:docPart w:val="{30287ad8-dd2c-4e7b-9d72-674067cbbd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r>
            <w:rPr>
              <w:rFonts w:hint="eastAsia"/>
              <w:lang w:val="en-US" w:eastAsia="zh-CN"/>
            </w:rPr>
            <w:t>GB/T 43643-2024</w:t>
          </w:r>
          <w:r>
            <w:rPr>
              <w:rFonts w:hint="eastAsia" w:ascii="宋体" w:hAnsi="Times New Roman" w:eastAsia="宋体" w:cs="宋体"/>
              <w:sz w:val="21"/>
              <w:lang w:val="en-US" w:eastAsia="zh-CN"/>
            </w:rPr>
            <w:t>界定的以及下列术语和定义适用于本文件。</w:t>
          </w:r>
        </w:sdtContent>
      </w:sdt>
    </w:p>
    <w:p w14:paraId="23FFD363">
      <w:pPr>
        <w:pStyle w:val="76"/>
        <w:bidi w:val="0"/>
      </w:pPr>
      <w:bookmarkStart w:id="17" w:name="OLE_LINK4"/>
    </w:p>
    <w:p w14:paraId="20A95987">
      <w:pPr>
        <w:pStyle w:val="76"/>
        <w:numPr>
          <w:ilvl w:val="1"/>
          <w:numId w:val="0"/>
        </w:numPr>
        <w:bidi w:val="0"/>
        <w:spacing w:before="0" w:beforeLines="0" w:after="0" w:afterLines="0"/>
        <w:ind w:leftChars="0" w:firstLine="420" w:firstLineChars="200"/>
        <w:rPr>
          <w:rFonts w:hint="eastAsia"/>
          <w:lang w:val="en-US" w:eastAsia="zh-CN"/>
        </w:rPr>
      </w:pPr>
      <w:r>
        <w:rPr>
          <w:rFonts w:hint="eastAsia"/>
        </w:rPr>
        <w:t>临沧</w:t>
      </w:r>
      <w:r>
        <w:rPr>
          <w:rFonts w:hint="eastAsia"/>
          <w:lang w:val="en-US" w:eastAsia="zh-CN"/>
        </w:rPr>
        <w:t>坚果</w:t>
      </w:r>
    </w:p>
    <w:bookmarkEnd w:id="17"/>
    <w:p w14:paraId="28BAD32B">
      <w:pPr>
        <w:pStyle w:val="124"/>
      </w:pPr>
      <w:bookmarkStart w:id="18" w:name="OLE_LINK33"/>
      <w:r>
        <w:rPr>
          <w:rFonts w:hint="eastAsia"/>
        </w:rPr>
        <w:t>临沧坚果，又名澳洲坚果、夏威夷果，是山龙眼科(Proteaceae)，澳洲坚果属</w:t>
      </w:r>
      <w:r>
        <w:rPr>
          <w:rFonts w:hint="eastAsia"/>
          <w:i/>
          <w:iCs/>
        </w:rPr>
        <w:t>(Macadamia</w:t>
      </w:r>
      <w:r>
        <w:rPr>
          <w:rFonts w:hint="eastAsia"/>
        </w:rPr>
        <w:t>)的多年生林粮树种，特指临沧市域内特殊山地种植模式和自然环境中种植的澳洲坚果果树、果实及制品。生产区域范围包括云南省临沧市所辖临翔区、云县、凤庆县、永德县、镇康县、耿马傣族佤族自治县、沧源佤族自治县、双江拉祜族佤族布朗族傣族自治县共计8个县(区)，共77个乡镇(街道)。地理坐标为东经98°40′～100°34′、北纬23°05′～25°02′。</w:t>
      </w:r>
      <w:bookmarkEnd w:id="18"/>
      <w:bookmarkStart w:id="19" w:name="OLE_LINK5"/>
    </w:p>
    <w:p w14:paraId="2A008EBA">
      <w:pPr>
        <w:pStyle w:val="125"/>
        <w:numPr>
          <w:ilvl w:val="-1"/>
          <w:numId w:val="0"/>
        </w:numPr>
        <w:ind w:firstLine="0" w:firstLineChars="0"/>
        <w:rPr>
          <w:rFonts w:hint="default" w:eastAsia="黑体"/>
          <w:lang w:val="en-US" w:eastAsia="zh-CN"/>
        </w:rPr>
      </w:pPr>
      <w:r>
        <w:rPr>
          <w:rFonts w:hint="eastAsia"/>
          <w:lang w:val="en-US" w:eastAsia="zh-CN"/>
        </w:rPr>
        <w:t>3.2</w:t>
      </w:r>
    </w:p>
    <w:p w14:paraId="21D8A351">
      <w:pPr>
        <w:pStyle w:val="76"/>
        <w:numPr>
          <w:ilvl w:val="1"/>
          <w:numId w:val="0"/>
        </w:numPr>
        <w:bidi w:val="0"/>
        <w:spacing w:before="0" w:beforeLines="0" w:after="0" w:afterLines="0"/>
        <w:ind w:leftChars="0" w:firstLine="420" w:firstLineChars="200"/>
      </w:pPr>
      <w:r>
        <w:rPr>
          <w:rFonts w:hint="eastAsia"/>
        </w:rPr>
        <w:t>壳果</w:t>
      </w:r>
    </w:p>
    <w:bookmarkEnd w:id="19"/>
    <w:p w14:paraId="0F1B9738">
      <w:pPr>
        <w:pStyle w:val="124"/>
        <w:bidi w:val="0"/>
        <w:spacing w:beforeLines="0" w:afterLines="0"/>
      </w:pPr>
      <w:r>
        <w:rPr>
          <w:rFonts w:hint="eastAsia"/>
        </w:rPr>
        <w:t>澳洲坚果果实去除青皮后经干燥得到的产品。</w:t>
      </w:r>
    </w:p>
    <w:p w14:paraId="512C891C">
      <w:pPr>
        <w:pStyle w:val="124"/>
        <w:bidi w:val="0"/>
        <w:rPr>
          <w:rFonts w:hint="eastAsia"/>
          <w:lang w:val="en-US" w:eastAsia="zh-CN"/>
        </w:rPr>
      </w:pPr>
      <w:bookmarkStart w:id="20" w:name="OLE_LINK7"/>
      <w:r>
        <w:rPr>
          <w:rFonts w:hint="eastAsia"/>
          <w:lang w:val="en-US" w:eastAsia="zh-CN"/>
        </w:rPr>
        <w:t>[来源：GB/T 43643-2024 3.1]</w:t>
      </w:r>
    </w:p>
    <w:bookmarkEnd w:id="20"/>
    <w:p w14:paraId="081F7216">
      <w:pPr>
        <w:pStyle w:val="76"/>
        <w:numPr>
          <w:ilvl w:val="-1"/>
          <w:numId w:val="0"/>
        </w:numPr>
        <w:bidi w:val="0"/>
        <w:rPr>
          <w:rFonts w:hint="default" w:eastAsia="黑体"/>
          <w:lang w:val="en-US" w:eastAsia="zh-CN"/>
        </w:rPr>
      </w:pPr>
      <w:bookmarkStart w:id="21" w:name="OLE_LINK8"/>
      <w:r>
        <w:rPr>
          <w:rFonts w:hint="eastAsia"/>
          <w:lang w:val="en-US" w:eastAsia="zh-CN"/>
        </w:rPr>
        <w:t>3.3</w:t>
      </w:r>
    </w:p>
    <w:p w14:paraId="63F560DC">
      <w:pPr>
        <w:pStyle w:val="76"/>
        <w:numPr>
          <w:ilvl w:val="1"/>
          <w:numId w:val="0"/>
        </w:numPr>
        <w:bidi w:val="0"/>
        <w:spacing w:before="0" w:beforeLines="0" w:after="0" w:afterLines="0"/>
        <w:ind w:leftChars="0" w:firstLine="420" w:firstLineChars="200"/>
      </w:pPr>
      <w:r>
        <w:rPr>
          <w:rFonts w:hint="eastAsia"/>
        </w:rPr>
        <w:t>开口壳果</w:t>
      </w:r>
    </w:p>
    <w:bookmarkEnd w:id="21"/>
    <w:p w14:paraId="555B0AE1">
      <w:pPr>
        <w:pStyle w:val="124"/>
        <w:spacing w:beforeLines="0" w:afterLines="0"/>
        <w:ind w:firstLine="420"/>
        <w:rPr>
          <w:rFonts w:hint="eastAsia"/>
          <w:lang w:val="en-US" w:eastAsia="zh-CN"/>
        </w:rPr>
      </w:pPr>
      <w:r>
        <w:rPr>
          <w:rFonts w:hint="eastAsia"/>
          <w:lang w:val="en-US" w:eastAsia="zh-CN"/>
        </w:rPr>
        <w:t>经专用设备锯开一条缝隙后的壳果。</w:t>
      </w:r>
    </w:p>
    <w:p w14:paraId="455F503D">
      <w:pPr>
        <w:pStyle w:val="124"/>
        <w:bidi w:val="0"/>
        <w:rPr>
          <w:rFonts w:hint="eastAsia"/>
          <w:lang w:val="en-US" w:eastAsia="zh-CN"/>
        </w:rPr>
      </w:pPr>
      <w:r>
        <w:rPr>
          <w:rFonts w:hint="eastAsia"/>
          <w:lang w:val="en-US" w:eastAsia="zh-CN"/>
        </w:rPr>
        <w:t>[来源：GB/T 43643-2024 3.2]</w:t>
      </w:r>
    </w:p>
    <w:p w14:paraId="0BB256E9">
      <w:pPr>
        <w:pStyle w:val="76"/>
        <w:numPr>
          <w:ilvl w:val="-1"/>
          <w:numId w:val="0"/>
        </w:numPr>
        <w:bidi w:val="0"/>
        <w:rPr>
          <w:rFonts w:hint="default" w:eastAsia="黑体"/>
          <w:lang w:val="en-US" w:eastAsia="zh-CN"/>
        </w:rPr>
      </w:pPr>
      <w:bookmarkStart w:id="22" w:name="OLE_LINK6"/>
      <w:r>
        <w:rPr>
          <w:rFonts w:hint="eastAsia"/>
          <w:lang w:val="en-US" w:eastAsia="zh-CN"/>
        </w:rPr>
        <w:t>3.4</w:t>
      </w:r>
    </w:p>
    <w:p w14:paraId="42C37958">
      <w:pPr>
        <w:pStyle w:val="76"/>
        <w:numPr>
          <w:ilvl w:val="1"/>
          <w:numId w:val="0"/>
        </w:numPr>
        <w:bidi w:val="0"/>
        <w:spacing w:before="0" w:beforeLines="0" w:after="0" w:afterLines="0"/>
        <w:ind w:firstLine="420" w:firstLineChars="200"/>
        <w:rPr>
          <w:sz w:val="21"/>
          <w:szCs w:val="20"/>
        </w:rPr>
      </w:pPr>
      <w:r>
        <w:rPr>
          <w:rFonts w:hint="eastAsia"/>
          <w:sz w:val="21"/>
          <w:szCs w:val="20"/>
        </w:rPr>
        <w:t>果仁</w:t>
      </w:r>
    </w:p>
    <w:bookmarkEnd w:id="22"/>
    <w:p w14:paraId="67004515">
      <w:pPr>
        <w:pStyle w:val="124"/>
        <w:spacing w:beforeLines="0" w:afterLines="0"/>
        <w:ind w:firstLine="0"/>
        <w:rPr>
          <w:rFonts w:hint="eastAsia"/>
          <w:sz w:val="21"/>
          <w:szCs w:val="20"/>
          <w:lang w:val="en-US" w:eastAsia="zh-CN"/>
        </w:rPr>
      </w:pPr>
      <w:r>
        <w:rPr>
          <w:rFonts w:hint="eastAsia"/>
          <w:sz w:val="21"/>
          <w:szCs w:val="20"/>
          <w:lang w:val="en-US" w:eastAsia="zh-CN"/>
        </w:rPr>
        <w:t>澳洲坚果脱去外壳后，得到呈现乳白色或淡黄色、即可食用的果实部分。</w:t>
      </w:r>
    </w:p>
    <w:p w14:paraId="46F3A219">
      <w:pPr>
        <w:pStyle w:val="76"/>
        <w:numPr>
          <w:ilvl w:val="1"/>
          <w:numId w:val="0"/>
        </w:numPr>
        <w:rPr>
          <w:rFonts w:hint="eastAsia"/>
          <w:lang w:val="en-US" w:eastAsia="zh-CN"/>
        </w:rPr>
      </w:pPr>
      <w:r>
        <w:rPr>
          <w:rFonts w:hint="eastAsia"/>
          <w:lang w:val="en-US" w:eastAsia="zh-CN"/>
        </w:rPr>
        <w:t>3.5</w:t>
      </w:r>
    </w:p>
    <w:p w14:paraId="78CDE896">
      <w:pPr>
        <w:pStyle w:val="125"/>
        <w:numPr>
          <w:ilvl w:val="1"/>
          <w:numId w:val="0"/>
        </w:numPr>
        <w:bidi w:val="0"/>
        <w:ind w:leftChars="0" w:firstLine="420" w:firstLineChars="200"/>
        <w:rPr>
          <w:rFonts w:hint="eastAsia"/>
          <w:color w:val="FF0000"/>
          <w:highlight w:val="none"/>
          <w:lang w:val="en-US" w:eastAsia="zh-CN"/>
        </w:rPr>
      </w:pPr>
      <w:r>
        <w:rPr>
          <w:rFonts w:hint="eastAsia"/>
          <w:color w:val="FF0000"/>
          <w:highlight w:val="none"/>
          <w:lang w:val="en-US" w:eastAsia="zh-CN"/>
        </w:rPr>
        <w:t>非植物性杂质</w:t>
      </w:r>
    </w:p>
    <w:p w14:paraId="56869E0A">
      <w:pPr>
        <w:pStyle w:val="124"/>
        <w:bidi w:val="0"/>
        <w:rPr>
          <w:rFonts w:hint="eastAsia"/>
          <w:color w:val="FF0000"/>
          <w:highlight w:val="none"/>
          <w:lang w:val="en-US" w:eastAsia="zh-CN"/>
        </w:rPr>
      </w:pPr>
      <w:r>
        <w:rPr>
          <w:rFonts w:hint="eastAsia"/>
          <w:color w:val="FF0000"/>
          <w:highlight w:val="none"/>
          <w:lang w:val="en-US" w:eastAsia="zh-CN"/>
        </w:rPr>
        <w:t>指的是临沧坚果壳果产品在</w:t>
      </w:r>
      <w:r>
        <w:rPr>
          <w:color w:val="FF0000"/>
          <w:highlight w:val="none"/>
        </w:rPr>
        <w:t>生产、运输</w:t>
      </w:r>
      <w:r>
        <w:rPr>
          <w:rFonts w:hint="eastAsia"/>
          <w:color w:val="FF0000"/>
          <w:highlight w:val="none"/>
          <w:lang w:val="en-US" w:eastAsia="zh-CN"/>
        </w:rPr>
        <w:t>或</w:t>
      </w:r>
      <w:r>
        <w:rPr>
          <w:color w:val="FF0000"/>
          <w:highlight w:val="none"/>
        </w:rPr>
        <w:t>储存</w:t>
      </w:r>
      <w:r>
        <w:rPr>
          <w:rFonts w:hint="eastAsia"/>
          <w:color w:val="FF0000"/>
          <w:highlight w:val="none"/>
          <w:lang w:val="en-US" w:eastAsia="zh-CN"/>
        </w:rPr>
        <w:t>过程中产生地来源于非植物且不属于坚果壳果的物质，如泥石、动物皮毛、玻璃、金属、纸屑、塑料薄膜等。</w:t>
      </w:r>
    </w:p>
    <w:p w14:paraId="4993A8B1">
      <w:pPr>
        <w:pStyle w:val="124"/>
        <w:bidi w:val="0"/>
        <w:ind w:firstLine="0" w:firstLineChars="0"/>
        <w:rPr>
          <w:rFonts w:hint="eastAsia"/>
          <w:color w:val="FF0000"/>
          <w:highlight w:val="none"/>
          <w:lang w:val="en-US" w:eastAsia="zh-CN"/>
        </w:rPr>
      </w:pPr>
      <w:r>
        <w:rPr>
          <w:rFonts w:hint="eastAsia"/>
          <w:color w:val="FF0000"/>
          <w:highlight w:val="none"/>
          <w:lang w:val="en-US" w:eastAsia="zh-CN"/>
        </w:rPr>
        <w:t>3.6</w:t>
      </w:r>
    </w:p>
    <w:p w14:paraId="500D4EFE">
      <w:pPr>
        <w:pStyle w:val="125"/>
        <w:numPr>
          <w:ilvl w:val="1"/>
          <w:numId w:val="0"/>
        </w:numPr>
        <w:bidi w:val="0"/>
        <w:ind w:leftChars="0" w:firstLine="420" w:firstLineChars="200"/>
        <w:rPr>
          <w:rFonts w:hint="eastAsia"/>
          <w:color w:val="FF0000"/>
          <w:highlight w:val="none"/>
          <w:lang w:val="en-US" w:eastAsia="zh-CN"/>
        </w:rPr>
      </w:pPr>
      <w:r>
        <w:rPr>
          <w:rFonts w:hint="eastAsia"/>
          <w:color w:val="FF0000"/>
          <w:highlight w:val="none"/>
          <w:lang w:val="en-US" w:eastAsia="zh-CN"/>
        </w:rPr>
        <w:t>植物性杂质</w:t>
      </w:r>
    </w:p>
    <w:p w14:paraId="4600ABD7">
      <w:pPr>
        <w:pStyle w:val="124"/>
        <w:bidi w:val="0"/>
        <w:rPr>
          <w:rFonts w:hint="eastAsia"/>
          <w:color w:val="FF0000"/>
          <w:lang w:eastAsia="zh-CN"/>
        </w:rPr>
      </w:pPr>
      <w:r>
        <w:rPr>
          <w:rFonts w:hint="eastAsia"/>
          <w:color w:val="FF0000"/>
          <w:highlight w:val="none"/>
          <w:lang w:val="en-US" w:eastAsia="zh-CN"/>
        </w:rPr>
        <w:t>指的是临沧坚果壳果产品</w:t>
      </w:r>
      <w:r>
        <w:rPr>
          <w:rFonts w:hint="default"/>
          <w:color w:val="FF0000"/>
          <w:highlight w:val="none"/>
        </w:rPr>
        <w:t>在生产</w:t>
      </w:r>
      <w:r>
        <w:rPr>
          <w:rFonts w:hint="eastAsia"/>
          <w:color w:val="FF0000"/>
          <w:highlight w:val="none"/>
          <w:lang w:eastAsia="zh-CN"/>
        </w:rPr>
        <w:t>、</w:t>
      </w:r>
      <w:r>
        <w:rPr>
          <w:rFonts w:hint="eastAsia"/>
          <w:color w:val="FF0000"/>
          <w:highlight w:val="none"/>
          <w:lang w:val="en-US" w:eastAsia="zh-CN"/>
        </w:rPr>
        <w:t>运输</w:t>
      </w:r>
      <w:r>
        <w:rPr>
          <w:rFonts w:hint="default"/>
          <w:color w:val="FF0000"/>
          <w:highlight w:val="none"/>
        </w:rPr>
        <w:t>或储存过程中</w:t>
      </w:r>
      <w:r>
        <w:rPr>
          <w:rFonts w:hint="eastAsia"/>
          <w:color w:val="FF0000"/>
          <w:highlight w:val="none"/>
          <w:lang w:val="en-US" w:eastAsia="zh-CN"/>
        </w:rPr>
        <w:t>来源于</w:t>
      </w:r>
      <w:r>
        <w:rPr>
          <w:rFonts w:hint="default"/>
          <w:color w:val="FF0000"/>
          <w:highlight w:val="none"/>
        </w:rPr>
        <w:t>植物</w:t>
      </w:r>
      <w:r>
        <w:rPr>
          <w:rFonts w:hint="eastAsia"/>
          <w:color w:val="FF0000"/>
          <w:highlight w:val="none"/>
          <w:lang w:val="en-US" w:eastAsia="zh-CN"/>
        </w:rPr>
        <w:t>且不属于坚果壳果的物质</w:t>
      </w:r>
      <w:r>
        <w:rPr>
          <w:rFonts w:hint="eastAsia"/>
          <w:color w:val="FF0000"/>
          <w:highlight w:val="none"/>
          <w:lang w:eastAsia="zh-CN"/>
        </w:rPr>
        <w:t>，</w:t>
      </w:r>
      <w:r>
        <w:rPr>
          <w:rFonts w:hint="eastAsia"/>
          <w:color w:val="FF0000"/>
          <w:highlight w:val="none"/>
          <w:lang w:val="en-US" w:eastAsia="zh-CN"/>
        </w:rPr>
        <w:t>如果皮、果壳、果柄、树叶、树枝、杂草等。</w:t>
      </w:r>
    </w:p>
    <w:p w14:paraId="254D724E">
      <w:pPr>
        <w:pStyle w:val="124"/>
        <w:bidi w:val="0"/>
        <w:ind w:firstLine="0" w:firstLineChars="0"/>
        <w:rPr>
          <w:rFonts w:hint="eastAsia"/>
          <w:color w:val="FF0000"/>
          <w:highlight w:val="none"/>
          <w:lang w:val="en-US" w:eastAsia="zh-CN"/>
        </w:rPr>
      </w:pPr>
      <w:r>
        <w:rPr>
          <w:rFonts w:hint="eastAsia"/>
          <w:color w:val="FF0000"/>
          <w:highlight w:val="none"/>
          <w:lang w:val="en-US" w:eastAsia="zh-CN"/>
        </w:rPr>
        <w:t>3.7</w:t>
      </w:r>
    </w:p>
    <w:p w14:paraId="0FADEE42">
      <w:pPr>
        <w:pStyle w:val="86"/>
        <w:numPr>
          <w:ilvl w:val="-1"/>
          <w:numId w:val="0"/>
        </w:numPr>
        <w:bidi w:val="0"/>
        <w:spacing w:after="0" w:afterLines="0"/>
        <w:ind w:left="-420" w:leftChars="-200" w:firstLine="840" w:firstLineChars="400"/>
        <w:rPr>
          <w:rFonts w:hint="eastAsia"/>
          <w:color w:val="FF0000"/>
          <w:highlight w:val="none"/>
          <w:lang w:eastAsia="zh-CN"/>
        </w:rPr>
      </w:pPr>
      <w:r>
        <w:rPr>
          <w:rFonts w:hint="eastAsia" w:cs="黑体"/>
          <w:color w:val="FF0000"/>
          <w:highlight w:val="none"/>
          <w:lang w:val="en-US" w:eastAsia="zh-CN"/>
        </w:rPr>
        <w:t>杂质</w:t>
      </w:r>
    </w:p>
    <w:p w14:paraId="069FA36E">
      <w:pPr>
        <w:pStyle w:val="124"/>
        <w:bidi w:val="0"/>
        <w:ind w:firstLine="0" w:firstLineChars="0"/>
        <w:rPr>
          <w:rFonts w:hint="default"/>
          <w:color w:val="FF0000"/>
          <w:highlight w:val="none"/>
          <w:lang w:val="en-US" w:eastAsia="zh-CN"/>
        </w:rPr>
      </w:pPr>
      <w:r>
        <w:rPr>
          <w:rFonts w:hint="eastAsia"/>
          <w:color w:val="FF0000"/>
          <w:highlight w:val="none"/>
          <w:lang w:val="en-US" w:eastAsia="zh-CN"/>
        </w:rPr>
        <w:t>指的是临沧坚果壳果产品在</w:t>
      </w:r>
      <w:r>
        <w:rPr>
          <w:color w:val="FF0000"/>
          <w:highlight w:val="none"/>
        </w:rPr>
        <w:t>生产、运输</w:t>
      </w:r>
      <w:r>
        <w:rPr>
          <w:rFonts w:hint="eastAsia"/>
          <w:color w:val="FF0000"/>
          <w:highlight w:val="none"/>
          <w:lang w:val="en-US" w:eastAsia="zh-CN"/>
        </w:rPr>
        <w:t>或</w:t>
      </w:r>
      <w:r>
        <w:rPr>
          <w:color w:val="FF0000"/>
          <w:highlight w:val="none"/>
        </w:rPr>
        <w:t>储存</w:t>
      </w:r>
      <w:r>
        <w:rPr>
          <w:rFonts w:hint="eastAsia"/>
          <w:color w:val="FF0000"/>
          <w:highlight w:val="none"/>
          <w:lang w:val="en-US" w:eastAsia="zh-CN"/>
        </w:rPr>
        <w:t>过程中产生地非植物性杂质和植物性杂质。</w:t>
      </w:r>
    </w:p>
    <w:p w14:paraId="31F38B93">
      <w:pPr>
        <w:pStyle w:val="75"/>
        <w:bidi w:val="0"/>
        <w:rPr>
          <w:rFonts w:hint="default"/>
          <w:lang w:val="en-US" w:eastAsia="zh-CN"/>
        </w:rPr>
      </w:pPr>
      <w:r>
        <w:rPr>
          <w:rFonts w:hint="eastAsia"/>
          <w:lang w:val="en-US" w:eastAsia="zh-CN"/>
        </w:rPr>
        <w:t>基本要求</w:t>
      </w:r>
    </w:p>
    <w:p w14:paraId="0241F5FF">
      <w:pPr>
        <w:pStyle w:val="76"/>
        <w:bidi w:val="0"/>
        <w:rPr>
          <w:rFonts w:hint="eastAsia"/>
          <w:lang w:val="en-US" w:eastAsia="zh-CN"/>
        </w:rPr>
      </w:pPr>
      <w:r>
        <w:rPr>
          <w:rFonts w:hint="eastAsia"/>
          <w:lang w:val="en-US" w:eastAsia="zh-CN"/>
        </w:rPr>
        <w:t>选址要求</w:t>
      </w:r>
    </w:p>
    <w:p w14:paraId="486B9A02">
      <w:pPr>
        <w:pStyle w:val="82"/>
        <w:keepNext w:val="0"/>
        <w:keepLines w:val="0"/>
        <w:pageBreakBefore w:val="0"/>
        <w:kinsoku/>
        <w:wordWrap/>
        <w:overflowPunct/>
        <w:topLinePunct w:val="0"/>
        <w:bidi w:val="0"/>
        <w:adjustRightInd/>
        <w:snapToGrid/>
        <w:spacing w:before="0" w:beforeLines="0" w:after="0" w:afterLines="0" w:line="240" w:lineRule="auto"/>
        <w:ind w:leftChars="0" w:firstLineChars="0"/>
        <w:jc w:val="left"/>
        <w:textAlignment w:val="auto"/>
        <w:rPr>
          <w:rFonts w:hint="eastAsia" w:ascii="宋体" w:hAnsi="宋体" w:eastAsia="宋体" w:cs="宋体"/>
          <w:kern w:val="0"/>
          <w:sz w:val="21"/>
          <w:szCs w:val="20"/>
          <w:lang w:val="en-US" w:eastAsia="zh-CN" w:bidi="ar-SA"/>
        </w:rPr>
      </w:pPr>
      <w:r>
        <w:rPr>
          <w:rFonts w:hint="eastAsia"/>
          <w:lang w:val="en-US" w:eastAsia="zh-CN" w:bidi="ar-SA"/>
        </w:rPr>
        <w:t>库房选址应避开化工厂、垃圾场、农药厂等易污染的地方，避免过于潮湿或干燥。</w:t>
      </w:r>
    </w:p>
    <w:p w14:paraId="55B0B467">
      <w:pPr>
        <w:pStyle w:val="82"/>
        <w:keepNext w:val="0"/>
        <w:keepLines w:val="0"/>
        <w:pageBreakBefore w:val="0"/>
        <w:kinsoku/>
        <w:wordWrap/>
        <w:overflowPunct/>
        <w:topLinePunct w:val="0"/>
        <w:bidi w:val="0"/>
        <w:adjustRightInd/>
        <w:snapToGrid/>
        <w:spacing w:before="0" w:beforeLines="0" w:after="0" w:afterLines="0" w:line="240" w:lineRule="auto"/>
        <w:ind w:leftChars="0" w:firstLineChars="0"/>
        <w:jc w:val="left"/>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库房的建设方向应避免日光长时间照射，库房的门窗及通风口应设置合理，以便于产品储藏和通风。</w:t>
      </w:r>
    </w:p>
    <w:p w14:paraId="73D6E08E">
      <w:pPr>
        <w:pStyle w:val="82"/>
        <w:keepNext w:val="0"/>
        <w:keepLines w:val="0"/>
        <w:pageBreakBefore w:val="0"/>
        <w:kinsoku/>
        <w:wordWrap/>
        <w:overflowPunct/>
        <w:topLinePunct w:val="0"/>
        <w:bidi w:val="0"/>
        <w:adjustRightInd/>
        <w:snapToGrid/>
        <w:spacing w:before="0" w:beforeLines="0" w:after="0" w:afterLines="0" w:line="240" w:lineRule="auto"/>
        <w:ind w:leftChars="0" w:firstLineChars="0"/>
        <w:jc w:val="left"/>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库顶应设置排气通道，库墙两侧应有通风排气窗和排风扇。库房侧墙和库顶应按要求建设，可采用双层夹墙，中间填入隔热介质，以利于库内温度、湿度的稳定。</w:t>
      </w:r>
    </w:p>
    <w:p w14:paraId="783A20D5">
      <w:pPr>
        <w:pStyle w:val="82"/>
        <w:bidi w:val="0"/>
        <w:spacing w:before="0" w:beforeLines="0" w:after="0" w:afterLines="0"/>
        <w:rPr>
          <w:rFonts w:hint="eastAsia" w:ascii="宋体" w:hAnsi="宋体" w:eastAsia="宋体" w:cs="宋体"/>
          <w:kern w:val="0"/>
          <w:sz w:val="21"/>
          <w:szCs w:val="20"/>
          <w:lang w:val="en-US" w:eastAsia="zh-CN" w:bidi="ar-SA"/>
        </w:rPr>
      </w:pPr>
      <w:r>
        <w:rPr>
          <w:rFonts w:hint="eastAsia"/>
          <w:lang w:val="en-US" w:eastAsia="zh-CN"/>
        </w:rPr>
        <w:t>库房地面应经防潮防湿防霉处理，离地2 m以上的墙壁应做防潮隔热处理，并配备温湿度监测设施，相对湿度</w:t>
      </w:r>
      <w:r>
        <w:rPr>
          <w:rFonts w:hint="default" w:ascii="Arial" w:hAnsi="Arial" w:cs="Arial"/>
          <w:lang w:val="en-US" w:eastAsia="zh-CN"/>
        </w:rPr>
        <w:t>≤</w:t>
      </w:r>
      <w:r>
        <w:rPr>
          <w:rFonts w:hint="eastAsia"/>
          <w:lang w:val="en-US" w:eastAsia="zh-CN"/>
        </w:rPr>
        <w:t>70%。</w:t>
      </w:r>
    </w:p>
    <w:p w14:paraId="2D52D233">
      <w:pPr>
        <w:pStyle w:val="82"/>
        <w:bidi w:val="0"/>
        <w:spacing w:before="0" w:beforeLines="0" w:after="0" w:afterLines="0"/>
        <w:rPr>
          <w:lang w:val="en-US" w:eastAsia="zh-CN"/>
        </w:rPr>
      </w:pPr>
      <w:r>
        <w:rPr>
          <w:rFonts w:hint="eastAsia" w:ascii="宋体" w:hAnsi="宋体" w:eastAsia="宋体" w:cs="宋体"/>
          <w:kern w:val="0"/>
          <w:sz w:val="21"/>
          <w:szCs w:val="20"/>
          <w:lang w:val="en-US" w:eastAsia="zh-CN" w:bidi="ar-SA"/>
        </w:rPr>
        <w:t>库房的门、窗、进气口、排气口等位置应安设防鼠设施。</w:t>
      </w:r>
    </w:p>
    <w:p w14:paraId="41D23C43">
      <w:pPr>
        <w:pStyle w:val="82"/>
        <w:bidi w:val="0"/>
        <w:spacing w:before="0" w:beforeLines="0" w:after="0" w:afterLines="0"/>
      </w:pPr>
      <w:r>
        <w:rPr>
          <w:rFonts w:hint="eastAsia"/>
          <w:lang w:val="en-US" w:eastAsia="zh-CN"/>
        </w:rPr>
        <w:t>常温库房的建设应符合GB 14881的相关规定，冷库的建设应符合GB 50072 的规定，防火设计应符合GB 50016的规定。</w:t>
      </w:r>
    </w:p>
    <w:p w14:paraId="62EBFA83">
      <w:pPr>
        <w:pStyle w:val="76"/>
        <w:bidi w:val="0"/>
        <w:rPr>
          <w:rFonts w:hint="eastAsia"/>
          <w:lang w:val="en-US" w:eastAsia="zh-CN"/>
        </w:rPr>
      </w:pPr>
      <w:r>
        <w:rPr>
          <w:rFonts w:hint="eastAsia"/>
          <w:lang w:val="en-US" w:eastAsia="zh-CN"/>
        </w:rPr>
        <w:t>设施设备要求</w:t>
      </w:r>
    </w:p>
    <w:p w14:paraId="5040068B">
      <w:pPr>
        <w:pStyle w:val="82"/>
        <w:bidi w:val="0"/>
        <w:spacing w:before="0" w:beforeLines="0" w:after="0" w:afterLines="0"/>
        <w:rPr>
          <w:rFonts w:hint="default"/>
          <w:lang w:val="en-US" w:eastAsia="zh-CN"/>
        </w:rPr>
      </w:pPr>
      <w:r>
        <w:rPr>
          <w:rFonts w:hint="default"/>
          <w:lang w:val="en-US" w:eastAsia="zh-CN"/>
        </w:rPr>
        <w:t>应配备与生产经营</w:t>
      </w:r>
      <w:r>
        <w:rPr>
          <w:rFonts w:hint="eastAsia"/>
          <w:lang w:val="en-US" w:eastAsia="zh-CN"/>
        </w:rPr>
        <w:t>临沧坚果产品</w:t>
      </w:r>
      <w:r>
        <w:rPr>
          <w:rFonts w:hint="default"/>
          <w:lang w:val="en-US" w:eastAsia="zh-CN"/>
        </w:rPr>
        <w:t>的品种和数量相适应的</w:t>
      </w:r>
      <w:r>
        <w:rPr>
          <w:rFonts w:hint="eastAsia"/>
          <w:lang w:val="en-US" w:eastAsia="zh-CN"/>
        </w:rPr>
        <w:t>库房及</w:t>
      </w:r>
      <w:r>
        <w:rPr>
          <w:rFonts w:hint="default"/>
          <w:lang w:val="en-US" w:eastAsia="zh-CN"/>
        </w:rPr>
        <w:t>仓储设施，确保仓储能力满足生产和经营的需求。</w:t>
      </w:r>
    </w:p>
    <w:p w14:paraId="20C28140">
      <w:pPr>
        <w:pStyle w:val="82"/>
        <w:bidi w:val="0"/>
        <w:spacing w:before="0" w:beforeLines="0" w:after="0" w:afterLines="0"/>
        <w:rPr>
          <w:rFonts w:hint="default"/>
          <w:lang w:val="en-US" w:eastAsia="zh-CN"/>
        </w:rPr>
      </w:pPr>
      <w:r>
        <w:rPr>
          <w:rFonts w:hint="default"/>
          <w:lang w:val="en-US" w:eastAsia="zh-CN"/>
        </w:rPr>
        <w:t>仓储设施的设计、建造和维护应</w:t>
      </w:r>
      <w:r>
        <w:rPr>
          <w:rFonts w:hint="eastAsia"/>
          <w:lang w:val="en-US" w:eastAsia="zh-CN"/>
        </w:rPr>
        <w:t>符合</w:t>
      </w:r>
      <w:r>
        <w:rPr>
          <w:rFonts w:hint="default"/>
          <w:lang w:val="en-US" w:eastAsia="zh-CN"/>
        </w:rPr>
        <w:t xml:space="preserve"> QB/T</w:t>
      </w:r>
      <w:r>
        <w:rPr>
          <w:rFonts w:hint="eastAsia"/>
          <w:lang w:val="en-US" w:eastAsia="zh-CN"/>
        </w:rPr>
        <w:t xml:space="preserve"> </w:t>
      </w:r>
      <w:r>
        <w:rPr>
          <w:rFonts w:hint="default"/>
          <w:lang w:val="en-US" w:eastAsia="zh-CN"/>
        </w:rPr>
        <w:t>5486的要求</w:t>
      </w:r>
      <w:r>
        <w:rPr>
          <w:rFonts w:hint="eastAsia"/>
          <w:lang w:val="en-US" w:eastAsia="zh-CN"/>
        </w:rPr>
        <w:t>，</w:t>
      </w:r>
      <w:r>
        <w:rPr>
          <w:rFonts w:hint="default"/>
          <w:lang w:val="en-US" w:eastAsia="zh-CN"/>
        </w:rPr>
        <w:t>确保物料在储存过程中的品质和安全。</w:t>
      </w:r>
    </w:p>
    <w:p w14:paraId="35B7C359">
      <w:pPr>
        <w:pStyle w:val="82"/>
        <w:bidi w:val="0"/>
        <w:spacing w:before="0" w:beforeLines="0" w:after="0" w:afterLines="0"/>
        <w:rPr>
          <w:rFonts w:hint="default"/>
          <w:lang w:val="en-US" w:eastAsia="zh-CN"/>
        </w:rPr>
      </w:pPr>
      <w:r>
        <w:rPr>
          <w:rFonts w:hint="eastAsia"/>
          <w:lang w:val="en-US" w:eastAsia="zh-CN"/>
        </w:rPr>
        <w:t>储藏期间应定期打扫储藏区域卫生，定期进行安全检查，确保储藏区的仪表设备、消防设备、环境卫生等符合要求。</w:t>
      </w:r>
    </w:p>
    <w:p w14:paraId="51AA8CFC">
      <w:pPr>
        <w:pStyle w:val="82"/>
        <w:bidi w:val="0"/>
        <w:spacing w:before="0" w:beforeLines="0" w:after="0" w:afterLines="0"/>
        <w:rPr>
          <w:rFonts w:hint="default"/>
          <w:lang w:val="en-US" w:eastAsia="zh-CN"/>
        </w:rPr>
      </w:pPr>
      <w:r>
        <w:rPr>
          <w:rFonts w:hint="default"/>
          <w:lang w:val="en-US" w:eastAsia="zh-CN"/>
        </w:rPr>
        <w:t>应设定专门的危险品和废弃物贮存区，</w:t>
      </w:r>
      <w:r>
        <w:rPr>
          <w:rFonts w:hint="eastAsia"/>
          <w:lang w:val="en-US" w:eastAsia="zh-CN"/>
        </w:rPr>
        <w:t>且</w:t>
      </w:r>
      <w:r>
        <w:rPr>
          <w:rFonts w:hint="default"/>
          <w:lang w:val="en-US" w:eastAsia="zh-CN"/>
        </w:rPr>
        <w:t>应与其他仓储区域隔离，并配备适当的安全措施，如防火、防爆、防泄漏等，以防止危险品和废弃物对人员和环境造成危害。</w:t>
      </w:r>
    </w:p>
    <w:p w14:paraId="2076E1BB">
      <w:pPr>
        <w:pStyle w:val="82"/>
        <w:bidi w:val="0"/>
        <w:spacing w:before="0" w:beforeLines="0" w:after="0" w:afterLines="0"/>
        <w:rPr>
          <w:rFonts w:hint="eastAsia"/>
          <w:lang w:val="en-US" w:eastAsia="zh-CN"/>
        </w:rPr>
      </w:pPr>
      <w:r>
        <w:rPr>
          <w:rFonts w:hint="eastAsia"/>
          <w:lang w:val="en-US" w:eastAsia="zh-CN"/>
        </w:rPr>
        <w:t>库房安全标识应清晰易辨，准确规范，符合</w:t>
      </w:r>
      <w:r>
        <w:t>XF 480</w:t>
      </w:r>
      <w:r>
        <w:rPr>
          <w:rFonts w:hint="eastAsia"/>
          <w:lang w:val="en-US" w:eastAsia="zh-CN"/>
        </w:rPr>
        <w:t>的要求。库房应具备防火、防盗、防鼠患、防锈蚀防霉变等设施，不应存放有毒、易燃、易爆物品。</w:t>
      </w:r>
    </w:p>
    <w:p w14:paraId="141AA626">
      <w:pPr>
        <w:pStyle w:val="76"/>
        <w:bidi w:val="0"/>
        <w:rPr>
          <w:rFonts w:hint="default"/>
          <w:lang w:val="en-US" w:eastAsia="zh-CN"/>
        </w:rPr>
      </w:pPr>
      <w:r>
        <w:rPr>
          <w:rFonts w:hint="eastAsia"/>
          <w:lang w:val="en-US" w:eastAsia="zh-CN"/>
        </w:rPr>
        <w:t>原辅料</w:t>
      </w:r>
    </w:p>
    <w:p w14:paraId="1367EBF4">
      <w:pPr>
        <w:pStyle w:val="82"/>
        <w:bidi w:val="0"/>
        <w:spacing w:before="0" w:beforeLines="0" w:after="0" w:afterLines="0"/>
        <w:rPr>
          <w:rFonts w:hint="eastAsia"/>
          <w:lang w:val="en-US" w:eastAsia="zh-CN"/>
        </w:rPr>
      </w:pPr>
      <w:r>
        <w:rPr>
          <w:rFonts w:hint="default"/>
          <w:lang w:val="en-US" w:eastAsia="zh-CN"/>
        </w:rPr>
        <w:t>应制定并实施原辅料质量管理制度，明确原辅料的验收标准、查验程序、入库、储存和运输等要求，确保原辅料的质量。</w:t>
      </w:r>
    </w:p>
    <w:p w14:paraId="74117142">
      <w:pPr>
        <w:pStyle w:val="82"/>
        <w:bidi w:val="0"/>
        <w:spacing w:before="0" w:beforeLines="0" w:after="0" w:afterLines="0"/>
        <w:rPr>
          <w:rFonts w:hint="eastAsia"/>
          <w:lang w:val="en-US" w:eastAsia="zh-CN"/>
        </w:rPr>
      </w:pPr>
      <w:r>
        <w:rPr>
          <w:rFonts w:hint="eastAsia"/>
          <w:lang w:val="en-US" w:eastAsia="zh-CN"/>
        </w:rPr>
        <w:t>原辅料入库之前应进行清洁消毒。</w:t>
      </w:r>
    </w:p>
    <w:p w14:paraId="40B6EABD">
      <w:pPr>
        <w:pStyle w:val="82"/>
        <w:bidi w:val="0"/>
        <w:spacing w:before="0" w:beforeLines="0" w:after="0" w:afterLines="0"/>
        <w:rPr>
          <w:rFonts w:hint="eastAsia"/>
          <w:lang w:val="en-US" w:eastAsia="zh-CN"/>
        </w:rPr>
      </w:pPr>
      <w:r>
        <w:rPr>
          <w:rFonts w:hint="eastAsia"/>
          <w:lang w:val="en-US" w:eastAsia="zh-CN"/>
        </w:rPr>
        <w:t>应根据不同食品质量特性进行原辅料分类和分级存放，不同质量等级的原辅料应有明显标识，以便于管理和使用。</w:t>
      </w:r>
    </w:p>
    <w:p w14:paraId="5E663D1C">
      <w:pPr>
        <w:pStyle w:val="82"/>
        <w:bidi w:val="0"/>
        <w:spacing w:before="0" w:beforeLines="0" w:after="0" w:afterLines="0"/>
        <w:rPr>
          <w:rFonts w:hint="default"/>
          <w:lang w:val="en-US" w:eastAsia="zh-CN"/>
        </w:rPr>
      </w:pPr>
      <w:r>
        <w:rPr>
          <w:rFonts w:hint="eastAsia"/>
          <w:lang w:val="en-US" w:eastAsia="zh-CN"/>
        </w:rPr>
        <w:t>应设专人定期、不定点、抽样的方式进行产品质量检查，详细记录质量检查结果，根据检查结果及时调整储藏条件。</w:t>
      </w:r>
    </w:p>
    <w:p w14:paraId="638110A3">
      <w:pPr>
        <w:pStyle w:val="82"/>
        <w:bidi w:val="0"/>
        <w:spacing w:before="0" w:beforeLines="0" w:after="0" w:afterLines="0"/>
        <w:rPr>
          <w:rFonts w:hint="default"/>
          <w:lang w:val="en-US" w:eastAsia="zh-CN"/>
        </w:rPr>
      </w:pPr>
      <w:r>
        <w:rPr>
          <w:rFonts w:hint="default"/>
          <w:lang w:val="en-US" w:eastAsia="zh-CN"/>
        </w:rPr>
        <w:t>原辅料的验收标准和抽样检验方案应具体、可操作，并且能够被有效执行。验收标准至少应涵盖色泽、气味、霉变粒、酸价、过氧化值等关键质量指标。</w:t>
      </w:r>
    </w:p>
    <w:p w14:paraId="66D7E129">
      <w:pPr>
        <w:pStyle w:val="82"/>
        <w:bidi w:val="0"/>
        <w:spacing w:before="0" w:beforeLines="0" w:after="0" w:afterLines="0"/>
        <w:rPr>
          <w:rFonts w:hint="default"/>
          <w:lang w:val="en-US" w:eastAsia="zh-CN"/>
        </w:rPr>
      </w:pPr>
      <w:r>
        <w:rPr>
          <w:rFonts w:hint="default"/>
          <w:lang w:val="en-US" w:eastAsia="zh-CN"/>
        </w:rPr>
        <w:t>应查验供应商提供的质量检验报告和其他质量合格证明文件，以验证原辅料的质量符合性</w:t>
      </w:r>
      <w:r>
        <w:rPr>
          <w:rFonts w:hint="eastAsia"/>
          <w:lang w:val="en-US" w:eastAsia="zh-CN"/>
        </w:rPr>
        <w:t>。</w:t>
      </w:r>
      <w:r>
        <w:rPr>
          <w:rFonts w:hint="default"/>
          <w:lang w:val="en-US" w:eastAsia="zh-CN"/>
        </w:rPr>
        <w:t>对于关键项目，必要时应进行独立检验。</w:t>
      </w:r>
    </w:p>
    <w:p w14:paraId="77D267E9">
      <w:pPr>
        <w:pStyle w:val="82"/>
        <w:bidi w:val="0"/>
        <w:spacing w:before="0" w:beforeLines="0" w:after="0" w:afterLines="0"/>
        <w:rPr>
          <w:rFonts w:hint="default"/>
          <w:lang w:val="en-US" w:eastAsia="zh-CN"/>
        </w:rPr>
      </w:pPr>
      <w:r>
        <w:rPr>
          <w:rFonts w:hint="default"/>
          <w:lang w:val="en-US" w:eastAsia="zh-CN"/>
        </w:rPr>
        <w:t>对于不符合质量控制要求的原辅料，必须禁止</w:t>
      </w:r>
      <w:r>
        <w:rPr>
          <w:rFonts w:hint="eastAsia"/>
          <w:lang w:val="en-US" w:eastAsia="zh-CN"/>
        </w:rPr>
        <w:t>使用</w:t>
      </w:r>
      <w:r>
        <w:rPr>
          <w:rFonts w:hint="default"/>
          <w:lang w:val="en-US" w:eastAsia="zh-CN"/>
        </w:rPr>
        <w:t>，并应进行明确标识和及时隔离采取适当处置措施，防止与合格物料混用或误用。</w:t>
      </w:r>
    </w:p>
    <w:p w14:paraId="5908C3D0">
      <w:pPr>
        <w:pStyle w:val="76"/>
        <w:bidi w:val="0"/>
        <w:rPr>
          <w:rFonts w:hint="default"/>
          <w:lang w:val="en-US" w:eastAsia="zh-CN"/>
        </w:rPr>
      </w:pPr>
      <w:r>
        <w:rPr>
          <w:rFonts w:hint="eastAsia"/>
          <w:lang w:val="en-US" w:eastAsia="zh-CN"/>
        </w:rPr>
        <w:t>人员</w:t>
      </w:r>
    </w:p>
    <w:p w14:paraId="18CFDCE3">
      <w:pPr>
        <w:pStyle w:val="82"/>
        <w:numPr>
          <w:ilvl w:val="2"/>
          <w:numId w:val="0"/>
        </w:numPr>
        <w:bidi w:val="0"/>
        <w:spacing w:before="0" w:beforeLines="0" w:after="0" w:afterLines="0"/>
        <w:ind w:leftChars="0" w:firstLine="420" w:firstLineChars="200"/>
        <w:rPr>
          <w:rFonts w:hint="default"/>
          <w:lang w:val="en-US" w:eastAsia="zh-CN"/>
        </w:rPr>
      </w:pPr>
      <w:r>
        <w:rPr>
          <w:rFonts w:hint="eastAsia"/>
          <w:lang w:val="en-US" w:eastAsia="zh-CN"/>
        </w:rPr>
        <w:t>仓库应设专人管理，负责库房安全、卫生、出入库登记等工作。相关人员要进行定期培训和考核，具备岗位所需要求和技能。需要持证的岗位应持有效期内证件上岗。</w:t>
      </w:r>
    </w:p>
    <w:p w14:paraId="5B447F8B">
      <w:pPr>
        <w:pStyle w:val="75"/>
        <w:bidi w:val="0"/>
        <w:rPr>
          <w:rFonts w:hint="eastAsia"/>
        </w:rPr>
      </w:pPr>
      <w:bookmarkStart w:id="23" w:name="OLE_LINK35"/>
      <w:r>
        <w:rPr>
          <w:rFonts w:hint="eastAsia"/>
          <w:lang w:val="en-US" w:eastAsia="zh-CN"/>
        </w:rPr>
        <w:t>包装</w:t>
      </w:r>
    </w:p>
    <w:p w14:paraId="6F211275">
      <w:pPr>
        <w:pStyle w:val="76"/>
        <w:rPr>
          <w:rFonts w:hint="default"/>
          <w:lang w:val="en-US"/>
        </w:rPr>
      </w:pPr>
      <w:r>
        <w:rPr>
          <w:rFonts w:hint="eastAsia"/>
          <w:lang w:val="en-US" w:eastAsia="zh-CN"/>
        </w:rPr>
        <w:t>包装要求</w:t>
      </w:r>
    </w:p>
    <w:p w14:paraId="330F826B">
      <w:pPr>
        <w:pStyle w:val="82"/>
        <w:bidi w:val="0"/>
        <w:spacing w:before="0" w:beforeLines="0" w:after="0" w:afterLines="0"/>
        <w:rPr>
          <w:rFonts w:hint="eastAsia"/>
          <w:lang w:val="en-US" w:eastAsia="zh-CN"/>
        </w:rPr>
      </w:pPr>
      <w:r>
        <w:rPr>
          <w:rFonts w:hint="eastAsia"/>
          <w:lang w:val="en-US" w:eastAsia="zh-CN"/>
        </w:rPr>
        <w:t>包装设计宜体现产品的历史文化和品质特色，符合DB5309/T ****。</w:t>
      </w:r>
    </w:p>
    <w:p w14:paraId="5181EECD">
      <w:pPr>
        <w:pStyle w:val="82"/>
        <w:bidi w:val="0"/>
        <w:spacing w:before="0" w:beforeLines="0" w:after="0" w:afterLines="0"/>
        <w:rPr>
          <w:rFonts w:hint="eastAsia"/>
          <w:lang w:val="en-US" w:eastAsia="zh-CN"/>
        </w:rPr>
      </w:pPr>
      <w:r>
        <w:rPr>
          <w:rFonts w:hint="eastAsia"/>
          <w:lang w:val="en-US" w:eastAsia="zh-CN"/>
        </w:rPr>
        <w:t>包装形式和材质应设计为能在正常的储存、运输和销售条件下保持食品品质，包装物应清洁、结实，包装容器封口应严密，不得破损、泄露。若采用包装袋，则包装袋应坚固结实，封口或者缝口应严密，防止食品在流通过程中受到污染和损害。</w:t>
      </w:r>
    </w:p>
    <w:p w14:paraId="79C3FA7C">
      <w:pPr>
        <w:pStyle w:val="76"/>
        <w:bidi w:val="0"/>
        <w:spacing w:before="0" w:beforeLines="0" w:after="0" w:afterLines="0"/>
        <w:rPr>
          <w:rFonts w:hint="eastAsia"/>
        </w:rPr>
      </w:pPr>
      <w:r>
        <w:rPr>
          <w:rFonts w:hint="eastAsia"/>
          <w:lang w:val="en-US" w:eastAsia="zh-CN"/>
        </w:rPr>
        <w:t>包装材料</w:t>
      </w:r>
    </w:p>
    <w:p w14:paraId="1452C62C">
      <w:pPr>
        <w:pStyle w:val="82"/>
        <w:bidi w:val="0"/>
        <w:spacing w:before="0" w:beforeLines="0" w:after="0" w:afterLines="0"/>
        <w:rPr>
          <w:rFonts w:hint="eastAsia"/>
          <w:lang w:val="en-US" w:eastAsia="zh-CN"/>
        </w:rPr>
      </w:pPr>
      <w:r>
        <w:rPr>
          <w:rFonts w:hint="eastAsia"/>
          <w:lang w:val="en-US" w:eastAsia="zh-CN"/>
        </w:rPr>
        <w:t>包装材料应符合食品安全等相关标准的规定。塑料编织袋应符合GB/T 8946的规定，塑料与铝箔复合袋应符合 GB/T 28118的规定，接触材料及制品通用安全要求应符合GB 4806.1的规定，接触用塑料材料及制品应符合GB 4806.7的规定，接触用纸和纸板材料及制品应符合GB 4806.8、GB/T 31123的规定，物流包装材料应符合GB/T 34344等的规定，其他包装材料应符合NY/T 658的规定</w:t>
      </w:r>
      <w:r>
        <w:rPr>
          <w:rFonts w:hint="default"/>
          <w:lang w:val="en-US" w:eastAsia="zh-CN"/>
        </w:rPr>
        <w:t>。</w:t>
      </w:r>
    </w:p>
    <w:p w14:paraId="530C4AB1">
      <w:pPr>
        <w:pStyle w:val="82"/>
        <w:bidi w:val="0"/>
        <w:spacing w:before="0" w:beforeLines="0" w:after="0" w:afterLines="0"/>
        <w:rPr>
          <w:rFonts w:hint="eastAsia"/>
          <w:lang w:val="en-US" w:eastAsia="zh-CN"/>
        </w:rPr>
      </w:pPr>
      <w:r>
        <w:rPr>
          <w:rFonts w:hint="eastAsia"/>
          <w:lang w:val="en-US" w:eastAsia="zh-CN"/>
        </w:rPr>
        <w:t>包装防潮应符合GB/T 5048的规定。</w:t>
      </w:r>
    </w:p>
    <w:p w14:paraId="0853C47C">
      <w:pPr>
        <w:pStyle w:val="82"/>
        <w:bidi w:val="0"/>
        <w:spacing w:before="0" w:beforeLines="0" w:after="0" w:afterLines="0"/>
        <w:rPr>
          <w:rFonts w:hint="eastAsia"/>
          <w:lang w:val="en-US" w:eastAsia="zh-CN"/>
        </w:rPr>
      </w:pPr>
      <w:r>
        <w:rPr>
          <w:rFonts w:hint="eastAsia"/>
          <w:lang w:val="en-US" w:eastAsia="zh-CN"/>
        </w:rPr>
        <w:t>应避免不必要的过度包装，符合GB 23350的规定。</w:t>
      </w:r>
    </w:p>
    <w:p w14:paraId="5CFBF158">
      <w:pPr>
        <w:pStyle w:val="75"/>
        <w:bidi w:val="0"/>
        <w:rPr>
          <w:rFonts w:hint="eastAsia"/>
          <w:lang w:val="en-US" w:eastAsia="zh-CN"/>
        </w:rPr>
      </w:pPr>
      <w:bookmarkStart w:id="24" w:name="OLE_LINK18"/>
      <w:r>
        <w:rPr>
          <w:rFonts w:hint="eastAsia"/>
          <w:lang w:val="en-US" w:eastAsia="zh-CN"/>
        </w:rPr>
        <w:t>标识</w:t>
      </w:r>
    </w:p>
    <w:bookmarkEnd w:id="24"/>
    <w:p w14:paraId="265F4B7E">
      <w:pPr>
        <w:pStyle w:val="81"/>
        <w:bidi w:val="0"/>
        <w:spacing w:before="0" w:beforeLines="0" w:after="0" w:afterLines="0"/>
      </w:pPr>
      <w:bookmarkStart w:id="25" w:name="OLE_LINK19"/>
      <w:bookmarkStart w:id="26" w:name="OLE_LINK44"/>
      <w:r>
        <w:rPr>
          <w:rFonts w:hint="eastAsia"/>
          <w:lang w:val="en-US" w:eastAsia="zh-CN"/>
        </w:rPr>
        <w:t>产品生产过程中投入和流转的物料标识应符合GB/T 44135的规定。</w:t>
      </w:r>
    </w:p>
    <w:p w14:paraId="42634FD5">
      <w:pPr>
        <w:pStyle w:val="81"/>
        <w:bidi w:val="0"/>
        <w:spacing w:before="0" w:beforeLines="0" w:after="0" w:afterLines="0"/>
      </w:pPr>
      <w:r>
        <w:rPr>
          <w:rFonts w:hint="eastAsia"/>
          <w:lang w:val="en-US" w:eastAsia="zh-CN"/>
        </w:rPr>
        <w:t>产品</w:t>
      </w:r>
      <w:r>
        <w:rPr>
          <w:rFonts w:hint="eastAsia"/>
        </w:rPr>
        <w:t>包装上的标识和说明应客观、准确地反映产品质量信息。对于具有质量等级的产品，应明确标注其质量等级，不得以低等级产品冒充高等级产品</w:t>
      </w:r>
      <w:r>
        <w:rPr>
          <w:rFonts w:hint="eastAsia"/>
          <w:lang w:eastAsia="zh-CN"/>
        </w:rPr>
        <w:t>。</w:t>
      </w:r>
    </w:p>
    <w:p w14:paraId="48438D8E">
      <w:pPr>
        <w:pStyle w:val="81"/>
        <w:bidi w:val="0"/>
        <w:spacing w:before="0" w:beforeLines="0" w:after="0" w:afterLines="0"/>
      </w:pPr>
      <w:r>
        <w:rPr>
          <w:rFonts w:hint="eastAsia"/>
          <w:lang w:val="en-US" w:eastAsia="zh-CN"/>
        </w:rPr>
        <w:t>预包装产品标签标识应符合</w:t>
      </w:r>
      <w:r>
        <w:rPr>
          <w:rFonts w:hint="eastAsia"/>
        </w:rPr>
        <w:t>GB</w:t>
      </w:r>
      <w:r>
        <w:rPr>
          <w:rFonts w:hint="eastAsia"/>
          <w:lang w:val="en-US" w:eastAsia="zh-CN"/>
        </w:rPr>
        <w:t xml:space="preserve"> </w:t>
      </w:r>
      <w:r>
        <w:rPr>
          <w:rFonts w:hint="eastAsia"/>
        </w:rPr>
        <w:t>7718</w:t>
      </w:r>
      <w:r>
        <w:rPr>
          <w:rFonts w:hint="eastAsia"/>
          <w:lang w:val="en-US" w:eastAsia="zh-CN"/>
        </w:rPr>
        <w:t>的相关规定，并</w:t>
      </w:r>
      <w:r>
        <w:rPr>
          <w:rFonts w:hint="eastAsia"/>
        </w:rPr>
        <w:t>应遵循 GB/T 18455的相关要求，标示回收标志。</w:t>
      </w:r>
    </w:p>
    <w:bookmarkEnd w:id="25"/>
    <w:p w14:paraId="2BE3BABB">
      <w:pPr>
        <w:pStyle w:val="81"/>
        <w:bidi w:val="0"/>
        <w:spacing w:before="0" w:beforeLines="0" w:after="0" w:afterLines="0"/>
      </w:pPr>
      <w:r>
        <w:rPr>
          <w:rFonts w:hint="eastAsia"/>
          <w:lang w:val="en-US" w:eastAsia="zh-CN"/>
        </w:rPr>
        <w:t>外</w:t>
      </w:r>
      <w:r>
        <w:rPr>
          <w:rFonts w:hint="eastAsia"/>
        </w:rPr>
        <w:t>包装件储运标志应符合GB/T</w:t>
      </w:r>
      <w:r>
        <w:rPr>
          <w:rFonts w:hint="eastAsia"/>
          <w:lang w:val="en-US" w:eastAsia="zh-CN"/>
        </w:rPr>
        <w:t xml:space="preserve"> </w:t>
      </w:r>
      <w:r>
        <w:rPr>
          <w:rFonts w:hint="eastAsia"/>
        </w:rPr>
        <w:t>191的规定，包装件收发货标志应符合GB/T</w:t>
      </w:r>
      <w:r>
        <w:rPr>
          <w:rFonts w:hint="eastAsia"/>
          <w:lang w:val="en-US" w:eastAsia="zh-CN"/>
        </w:rPr>
        <w:t xml:space="preserve"> </w:t>
      </w:r>
      <w:r>
        <w:rPr>
          <w:rFonts w:hint="eastAsia"/>
        </w:rPr>
        <w:t>6388的规定。</w:t>
      </w:r>
    </w:p>
    <w:p w14:paraId="6AD75910">
      <w:pPr>
        <w:pStyle w:val="81"/>
        <w:bidi w:val="0"/>
        <w:spacing w:before="0" w:beforeLines="0" w:after="0" w:afterLines="0"/>
      </w:pPr>
      <w:r>
        <w:rPr>
          <w:rFonts w:hint="eastAsia"/>
          <w:lang w:val="en-US" w:eastAsia="zh-CN"/>
        </w:rPr>
        <w:t>标注的净含量应符合</w:t>
      </w:r>
      <w:r>
        <w:rPr>
          <w:rFonts w:hint="eastAsia"/>
        </w:rPr>
        <w:t>JJF 1070</w:t>
      </w:r>
      <w:r>
        <w:rPr>
          <w:rFonts w:hint="eastAsia"/>
          <w:lang w:val="en-US" w:eastAsia="zh-CN"/>
        </w:rPr>
        <w:t>的规定。</w:t>
      </w:r>
    </w:p>
    <w:p w14:paraId="0248AA4E">
      <w:pPr>
        <w:pStyle w:val="81"/>
        <w:bidi w:val="0"/>
        <w:spacing w:before="0" w:beforeLines="0" w:after="0" w:afterLines="0"/>
      </w:pPr>
      <w:r>
        <w:rPr>
          <w:rFonts w:hint="eastAsia"/>
          <w:lang w:val="en-US" w:eastAsia="zh-CN"/>
        </w:rPr>
        <w:t>获准使用“临沧坚果”农产品地理标志专用标志或其他专用标志的厂家，可在其包装产品上使用相关专用标志，地理标志等商标的使用应符合相关管理办法的规定。</w:t>
      </w:r>
      <w:bookmarkEnd w:id="26"/>
    </w:p>
    <w:p w14:paraId="5EEAD872">
      <w:pPr>
        <w:pStyle w:val="81"/>
        <w:bidi w:val="0"/>
        <w:spacing w:before="0" w:beforeLines="0" w:after="0" w:afterLines="0"/>
      </w:pPr>
      <w:r>
        <w:rPr>
          <w:rFonts w:hint="eastAsia"/>
        </w:rPr>
        <w:t>食品生产许可、出口食品生产企业备案、IS0</w:t>
      </w:r>
      <w:r>
        <w:rPr>
          <w:rFonts w:hint="eastAsia"/>
          <w:lang w:val="en-US" w:eastAsia="zh-CN"/>
        </w:rPr>
        <w:t xml:space="preserve"> </w:t>
      </w:r>
      <w:r>
        <w:rPr>
          <w:rFonts w:hint="eastAsia"/>
        </w:rPr>
        <w:t>9001管理体系、HACCP管理体系、IS0</w:t>
      </w:r>
      <w:r>
        <w:rPr>
          <w:rFonts w:hint="eastAsia"/>
          <w:lang w:val="en-US" w:eastAsia="zh-CN"/>
        </w:rPr>
        <w:t xml:space="preserve"> </w:t>
      </w:r>
      <w:r>
        <w:rPr>
          <w:rFonts w:hint="eastAsia"/>
        </w:rPr>
        <w:t>22000食品安全管理体系等专用标志或标识标注方法和内容应符合相关规定。</w:t>
      </w:r>
    </w:p>
    <w:p w14:paraId="6A11BECC">
      <w:pPr>
        <w:pStyle w:val="81"/>
        <w:bidi w:val="0"/>
        <w:spacing w:before="0" w:beforeLines="0" w:after="0" w:afterLines="0"/>
      </w:pPr>
      <w:r>
        <w:rPr>
          <w:rFonts w:hint="eastAsia"/>
          <w:lang w:val="en-US" w:eastAsia="zh-CN"/>
        </w:rPr>
        <w:t>根据临沧坚果产品进行分类和分级存放，不同质量等级应有明显标识，以便于管理和使用。</w:t>
      </w:r>
    </w:p>
    <w:p w14:paraId="2A89C653">
      <w:pPr>
        <w:pStyle w:val="75"/>
        <w:bidi w:val="0"/>
        <w:rPr>
          <w:rFonts w:hint="eastAsia"/>
          <w:lang w:val="en-US" w:eastAsia="zh-CN"/>
        </w:rPr>
      </w:pPr>
      <w:r>
        <w:rPr>
          <w:rFonts w:hint="eastAsia"/>
          <w:lang w:val="en-US" w:eastAsia="zh-CN"/>
        </w:rPr>
        <w:t>贮存</w:t>
      </w:r>
      <w:bookmarkEnd w:id="23"/>
      <w:bookmarkStart w:id="27" w:name="OLE_LINK30"/>
      <w:bookmarkStart w:id="28" w:name="OLE_LINK36"/>
    </w:p>
    <w:bookmarkEnd w:id="27"/>
    <w:bookmarkEnd w:id="28"/>
    <w:p w14:paraId="0BBB9A21">
      <w:pPr>
        <w:pStyle w:val="76"/>
        <w:bidi w:val="0"/>
      </w:pPr>
      <w:r>
        <w:rPr>
          <w:rFonts w:hint="eastAsia"/>
          <w:lang w:val="en-US" w:eastAsia="zh-CN"/>
        </w:rPr>
        <w:t>入库前的准备</w:t>
      </w:r>
    </w:p>
    <w:p w14:paraId="476910BE">
      <w:pPr>
        <w:pStyle w:val="82"/>
        <w:bidi w:val="0"/>
        <w:spacing w:before="0" w:beforeLines="0" w:after="0" w:afterLines="0"/>
      </w:pPr>
      <w:bookmarkStart w:id="29" w:name="OLE_LINK32"/>
      <w:r>
        <w:rPr>
          <w:rFonts w:hint="eastAsia"/>
          <w:lang w:val="en-US" w:eastAsia="zh-CN"/>
        </w:rPr>
        <w:t>检查库房、设备、用具等相关设施，发现设施问题及时处理，确保库房、门窗完好，所有设备正常运转。</w:t>
      </w:r>
      <w:bookmarkStart w:id="30" w:name="OLE_LINK37"/>
    </w:p>
    <w:bookmarkEnd w:id="29"/>
    <w:p w14:paraId="3DE5497B">
      <w:pPr>
        <w:pStyle w:val="82"/>
        <w:bidi w:val="0"/>
        <w:spacing w:before="0" w:beforeLines="0" w:after="0" w:afterLines="0"/>
      </w:pPr>
      <w:r>
        <w:rPr>
          <w:rFonts w:hint="eastAsia"/>
          <w:lang w:val="en-US" w:eastAsia="zh-CN"/>
        </w:rPr>
        <w:t>库房和作业区应清扫干净，清除库房内的残留货物、灰尘和杂物，填堵孔、洞、缝隙。</w:t>
      </w:r>
    </w:p>
    <w:p w14:paraId="52157A0C">
      <w:pPr>
        <w:pStyle w:val="82"/>
        <w:bidi w:val="0"/>
        <w:spacing w:before="0" w:beforeLines="0" w:after="0" w:afterLines="0"/>
      </w:pPr>
      <w:r>
        <w:rPr>
          <w:rFonts w:hint="eastAsia"/>
          <w:lang w:val="en-US" w:eastAsia="zh-CN"/>
        </w:rPr>
        <w:t>产品入库前应先对库房消毒处理。打开库房通气设备排除废气，持续循环通风一段时间后关闭通气设备，等待产品入库</w:t>
      </w:r>
      <w:bookmarkEnd w:id="30"/>
      <w:r>
        <w:rPr>
          <w:rFonts w:hint="eastAsia"/>
          <w:lang w:val="en-US" w:eastAsia="zh-CN"/>
        </w:rPr>
        <w:t>。</w:t>
      </w:r>
    </w:p>
    <w:p w14:paraId="6A558DB0">
      <w:pPr>
        <w:pStyle w:val="76"/>
        <w:bidi w:val="0"/>
      </w:pPr>
      <w:r>
        <w:rPr>
          <w:rFonts w:hint="eastAsia"/>
          <w:lang w:val="en-US" w:eastAsia="zh-CN"/>
        </w:rPr>
        <w:t>产品入库</w:t>
      </w:r>
    </w:p>
    <w:p w14:paraId="036FB595">
      <w:pPr>
        <w:pStyle w:val="82"/>
        <w:bidi w:val="0"/>
        <w:spacing w:before="0" w:beforeLines="0" w:after="0" w:afterLines="0"/>
      </w:pPr>
      <w:bookmarkStart w:id="31" w:name="OLE_LINK38"/>
      <w:bookmarkStart w:id="32" w:name="OLE_LINK16"/>
      <w:r>
        <w:rPr>
          <w:rFonts w:hint="eastAsia"/>
          <w:lang w:val="en-US" w:eastAsia="zh-CN"/>
        </w:rPr>
        <w:t>产品经检验合格后入库</w:t>
      </w:r>
      <w:r>
        <w:rPr>
          <w:rFonts w:hint="eastAsia"/>
        </w:rPr>
        <w:t>。</w:t>
      </w:r>
    </w:p>
    <w:p w14:paraId="75C6ABE4">
      <w:pPr>
        <w:pStyle w:val="82"/>
        <w:bidi w:val="0"/>
        <w:spacing w:before="0" w:beforeLines="0" w:after="0" w:afterLines="0"/>
      </w:pPr>
      <w:r>
        <w:rPr>
          <w:rFonts w:hint="eastAsia"/>
          <w:lang w:val="en-US" w:eastAsia="zh-CN"/>
        </w:rPr>
        <w:t>产品</w:t>
      </w:r>
      <w:r>
        <w:rPr>
          <w:rFonts w:hint="eastAsia"/>
        </w:rPr>
        <w:t>应按生产批次批量进行入库、贮存，不与</w:t>
      </w:r>
      <w:r>
        <w:rPr>
          <w:rFonts w:hint="eastAsia"/>
          <w:lang w:eastAsia="zh-CN"/>
        </w:rPr>
        <w:t>其他批次</w:t>
      </w:r>
      <w:r>
        <w:rPr>
          <w:rFonts w:hint="eastAsia"/>
        </w:rPr>
        <w:t>混贮。</w:t>
      </w:r>
    </w:p>
    <w:p w14:paraId="38EED196">
      <w:pPr>
        <w:pStyle w:val="82"/>
        <w:bidi w:val="0"/>
        <w:spacing w:before="0" w:beforeLines="0" w:after="0" w:afterLines="0"/>
        <w:rPr>
          <w:rFonts w:hint="eastAsia"/>
        </w:rPr>
      </w:pPr>
      <w:r>
        <w:rPr>
          <w:rFonts w:hint="eastAsia"/>
        </w:rPr>
        <w:t>入库手续应随货同行，入库当日的入库手续应在当日办理完毕，按照先进先出的原则进行出入库管理。</w:t>
      </w:r>
    </w:p>
    <w:p w14:paraId="6926056F">
      <w:pPr>
        <w:pStyle w:val="82"/>
        <w:bidi w:val="0"/>
        <w:spacing w:before="0" w:beforeLines="0" w:after="0" w:afterLines="0"/>
      </w:pPr>
      <w:r>
        <w:rPr>
          <w:rFonts w:hint="eastAsia"/>
          <w:lang w:val="en-US" w:eastAsia="zh-CN"/>
        </w:rPr>
        <w:t>产品</w:t>
      </w:r>
      <w:r>
        <w:rPr>
          <w:rFonts w:hint="eastAsia"/>
        </w:rPr>
        <w:t>入库时应轻搬、轻放，不宜摔掷、落地和倒置并按照不同温区顺序迅速卸货</w:t>
      </w:r>
      <w:r>
        <w:rPr>
          <w:rFonts w:hint="eastAsia"/>
          <w:lang w:eastAsia="zh-CN"/>
        </w:rPr>
        <w:t>。</w:t>
      </w:r>
    </w:p>
    <w:p w14:paraId="12007EFF">
      <w:pPr>
        <w:pStyle w:val="82"/>
        <w:bidi w:val="0"/>
        <w:spacing w:before="0" w:beforeLines="0" w:after="0" w:afterLines="0"/>
        <w:rPr>
          <w:highlight w:val="none"/>
        </w:rPr>
      </w:pPr>
      <w:r>
        <w:rPr>
          <w:rFonts w:hint="eastAsia"/>
          <w:highlight w:val="none"/>
          <w:lang w:val="en-US" w:eastAsia="zh-CN"/>
        </w:rPr>
        <w:t>库房管理员应对品名、规格、等级、储存条件、入库批次、入库数量、入库时间等信息进行详细记录，填写登记表。</w:t>
      </w:r>
      <w:bookmarkEnd w:id="31"/>
    </w:p>
    <w:p w14:paraId="5B2E7F91">
      <w:pPr>
        <w:pStyle w:val="76"/>
        <w:bidi w:val="0"/>
      </w:pPr>
      <w:r>
        <w:rPr>
          <w:rFonts w:hint="eastAsia"/>
          <w:lang w:val="en-US" w:eastAsia="zh-CN"/>
        </w:rPr>
        <w:t>分类</w:t>
      </w:r>
    </w:p>
    <w:p w14:paraId="4D740DDA">
      <w:pPr>
        <w:pStyle w:val="82"/>
        <w:bidi w:val="0"/>
        <w:spacing w:before="0" w:beforeLines="0" w:after="0" w:afterLines="0"/>
      </w:pPr>
      <w:r>
        <w:rPr>
          <w:rFonts w:hint="eastAsia"/>
          <w:lang w:val="en-US" w:eastAsia="zh-CN"/>
        </w:rPr>
        <w:t>预包装的临沧坚果产品</w:t>
      </w:r>
      <w:bookmarkStart w:id="33" w:name="OLE_LINK39"/>
      <w:r>
        <w:rPr>
          <w:rFonts w:hint="eastAsia"/>
          <w:lang w:val="en-US" w:eastAsia="zh-CN"/>
        </w:rPr>
        <w:t>需</w:t>
      </w:r>
      <w:r>
        <w:rPr>
          <w:rFonts w:hint="eastAsia"/>
        </w:rPr>
        <w:t>按照规格、等级、加工程度等分区垛码存储</w:t>
      </w:r>
      <w:bookmarkEnd w:id="33"/>
      <w:r>
        <w:rPr>
          <w:rFonts w:hint="eastAsia"/>
          <w:lang w:eastAsia="zh-CN"/>
        </w:rPr>
        <w:t>。</w:t>
      </w:r>
    </w:p>
    <w:p w14:paraId="332B2DDF">
      <w:pPr>
        <w:pStyle w:val="82"/>
        <w:bidi w:val="0"/>
        <w:spacing w:before="0" w:beforeLines="0" w:after="0" w:afterLines="0"/>
      </w:pPr>
      <w:bookmarkStart w:id="34" w:name="OLE_LINK40"/>
      <w:r>
        <w:rPr>
          <w:rFonts w:hint="eastAsia"/>
          <w:lang w:val="en-US" w:eastAsia="zh-CN"/>
        </w:rPr>
        <w:t>库房的垛码排列需根据实际库房大小合理制定，垛码</w:t>
      </w:r>
      <w:r>
        <w:rPr>
          <w:rFonts w:hint="eastAsia"/>
        </w:rPr>
        <w:t>排列方式、</w:t>
      </w:r>
      <w:r>
        <w:t>走向及间隙应与</w:t>
      </w:r>
      <w:r>
        <w:rPr>
          <w:rFonts w:hint="eastAsia"/>
        </w:rPr>
        <w:t>库内空气</w:t>
      </w:r>
      <w:r>
        <w:t>环流方向一致</w:t>
      </w:r>
      <w:r>
        <w:rPr>
          <w:rFonts w:hint="eastAsia"/>
          <w:lang w:eastAsia="zh-CN"/>
        </w:rPr>
        <w:t>，</w:t>
      </w:r>
      <w:r>
        <w:rPr>
          <w:rFonts w:hint="eastAsia"/>
          <w:lang w:val="en-US" w:eastAsia="zh-CN"/>
        </w:rPr>
        <w:t>保证空气流通。</w:t>
      </w:r>
    </w:p>
    <w:p w14:paraId="2E9C0BEF">
      <w:pPr>
        <w:pStyle w:val="82"/>
        <w:bidi w:val="0"/>
        <w:spacing w:before="0" w:beforeLines="0" w:after="0" w:afterLines="0"/>
      </w:pPr>
      <w:r>
        <w:rPr>
          <w:rFonts w:hint="eastAsia"/>
          <w:lang w:val="en-US" w:eastAsia="zh-CN"/>
        </w:rPr>
        <w:t>垛与垛之间应留有间隙，每排垛间需预留一定宽度的人行通道，使用叉车装卸产品的库房还需预留叉车通道，应保证叉车能随意装卸每排堆垛的产品。</w:t>
      </w:r>
    </w:p>
    <w:p w14:paraId="3B5F754B">
      <w:pPr>
        <w:pStyle w:val="82"/>
        <w:bidi w:val="0"/>
        <w:spacing w:before="0" w:beforeLines="0" w:after="0" w:afterLines="0"/>
      </w:pPr>
      <w:r>
        <w:rPr>
          <w:rFonts w:hint="eastAsia"/>
          <w:lang w:val="en-US" w:eastAsia="zh-CN"/>
        </w:rPr>
        <w:t>堆垛的层数应适宜堆放和搬运，每排堆垛的产品区应用固定架固定相对位置，防止产品错位、倒塌。</w:t>
      </w:r>
    </w:p>
    <w:p w14:paraId="1870A9C2">
      <w:pPr>
        <w:pStyle w:val="82"/>
        <w:bidi w:val="0"/>
        <w:spacing w:before="0" w:beforeLines="0" w:after="0" w:afterLines="0"/>
      </w:pPr>
      <w:r>
        <w:t>货位堆码</w:t>
      </w:r>
      <w:r>
        <w:rPr>
          <w:rFonts w:hint="eastAsia"/>
          <w:lang w:val="en-US" w:eastAsia="zh-CN"/>
        </w:rPr>
        <w:t>区需与库房侧墙、库顶、地面等位置保持一定距离</w:t>
      </w:r>
      <w:r>
        <w:rPr>
          <w:rFonts w:hint="eastAsia"/>
          <w:lang w:eastAsia="zh-CN"/>
        </w:rPr>
        <w:t>，</w:t>
      </w:r>
      <w:r>
        <w:rPr>
          <w:rFonts w:hint="eastAsia"/>
          <w:lang w:val="en-US" w:eastAsia="zh-CN"/>
        </w:rPr>
        <w:t>防止长时间堆放的产品出现发霉、腐烂、变质等质量问题。具体堆垛距离要求如表1所示。</w:t>
      </w:r>
    </w:p>
    <w:p w14:paraId="2C5AC09F">
      <w:pPr>
        <w:pStyle w:val="129"/>
        <w:bidi w:val="0"/>
        <w:rPr>
          <w:rFonts w:hint="eastAsia"/>
          <w:sz w:val="18"/>
          <w:szCs w:val="18"/>
          <w:lang w:val="en-US" w:eastAsia="zh-CN"/>
        </w:rPr>
      </w:pPr>
      <w:r>
        <w:rPr>
          <w:rFonts w:hint="eastAsia"/>
          <w:sz w:val="18"/>
          <w:szCs w:val="18"/>
          <w:lang w:val="en-US" w:eastAsia="zh-CN"/>
        </w:rPr>
        <w:t>临沧坚果产品堆垛距离要求</w:t>
      </w:r>
    </w:p>
    <w:tbl>
      <w:tblPr>
        <w:tblStyle w:val="22"/>
        <w:tblW w:w="499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33"/>
        <w:gridCol w:w="4498"/>
        <w:gridCol w:w="3129"/>
      </w:tblGrid>
      <w:tr w14:paraId="4DDD0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011" w:type="pct"/>
            <w:vAlign w:val="center"/>
          </w:tcPr>
          <w:p w14:paraId="76918A5B">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2352" w:type="pct"/>
            <w:vAlign w:val="center"/>
          </w:tcPr>
          <w:p w14:paraId="46580CC0">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堆垛条件</w:t>
            </w:r>
          </w:p>
        </w:tc>
        <w:tc>
          <w:tcPr>
            <w:tcW w:w="1636" w:type="pct"/>
            <w:vAlign w:val="center"/>
          </w:tcPr>
          <w:p w14:paraId="03ED5393">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距离要求（m）</w:t>
            </w:r>
          </w:p>
        </w:tc>
      </w:tr>
      <w:tr w14:paraId="2A60F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trPr>
        <w:tc>
          <w:tcPr>
            <w:tcW w:w="1011" w:type="pct"/>
            <w:vAlign w:val="center"/>
          </w:tcPr>
          <w:p w14:paraId="0883A551">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2352" w:type="pct"/>
            <w:vAlign w:val="center"/>
          </w:tcPr>
          <w:p w14:paraId="24BE2159">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垛距侧墙</w:t>
            </w:r>
          </w:p>
        </w:tc>
        <w:tc>
          <w:tcPr>
            <w:tcW w:w="1636" w:type="pct"/>
            <w:vAlign w:val="center"/>
          </w:tcPr>
          <w:p w14:paraId="06935B81">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w:t>
            </w:r>
            <w:r>
              <w:rPr>
                <w:rFonts w:hint="eastAsia" w:hAnsi="宋体" w:cs="宋体"/>
                <w:kern w:val="0"/>
                <w:sz w:val="18"/>
                <w:szCs w:val="18"/>
                <w:lang w:val="en-US" w:eastAsia="zh-CN"/>
              </w:rPr>
              <w:t>~</w:t>
            </w:r>
            <w:r>
              <w:rPr>
                <w:rFonts w:hint="eastAsia" w:ascii="宋体" w:hAnsi="宋体" w:eastAsia="宋体" w:cs="宋体"/>
                <w:kern w:val="0"/>
                <w:sz w:val="18"/>
                <w:szCs w:val="18"/>
                <w:lang w:val="en-US" w:eastAsia="zh-CN"/>
              </w:rPr>
              <w:t>0.2</w:t>
            </w:r>
          </w:p>
        </w:tc>
      </w:tr>
      <w:tr w14:paraId="03814F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 w:hRule="atLeast"/>
        </w:trPr>
        <w:tc>
          <w:tcPr>
            <w:tcW w:w="1011" w:type="pct"/>
            <w:vAlign w:val="center"/>
          </w:tcPr>
          <w:p w14:paraId="6472FD3E">
            <w:pPr>
              <w:widowControl/>
              <w:spacing w:line="3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352" w:type="pct"/>
            <w:vAlign w:val="center"/>
          </w:tcPr>
          <w:p w14:paraId="5BB92A4D">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垛距地面</w:t>
            </w:r>
          </w:p>
        </w:tc>
        <w:tc>
          <w:tcPr>
            <w:tcW w:w="1636" w:type="pct"/>
            <w:vAlign w:val="center"/>
          </w:tcPr>
          <w:p w14:paraId="2EEBB2DE">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w:t>
            </w:r>
            <w:r>
              <w:rPr>
                <w:rFonts w:hint="eastAsia" w:hAnsi="宋体" w:cs="宋体"/>
                <w:kern w:val="0"/>
                <w:sz w:val="18"/>
                <w:szCs w:val="18"/>
                <w:lang w:val="en-US" w:eastAsia="zh-CN"/>
              </w:rPr>
              <w:t>~</w:t>
            </w:r>
            <w:r>
              <w:rPr>
                <w:rFonts w:hint="eastAsia" w:ascii="宋体" w:hAnsi="宋体" w:eastAsia="宋体" w:cs="宋体"/>
                <w:kern w:val="0"/>
                <w:sz w:val="18"/>
                <w:szCs w:val="18"/>
                <w:lang w:val="en-US" w:eastAsia="zh-CN"/>
              </w:rPr>
              <w:t>0.2</w:t>
            </w:r>
          </w:p>
        </w:tc>
      </w:tr>
      <w:tr w14:paraId="16D875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011" w:type="pct"/>
            <w:vAlign w:val="center"/>
          </w:tcPr>
          <w:p w14:paraId="60659148">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2352" w:type="pct"/>
            <w:vAlign w:val="center"/>
          </w:tcPr>
          <w:p w14:paraId="4FCB1A95">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垛与垛之间间隙</w:t>
            </w:r>
          </w:p>
        </w:tc>
        <w:tc>
          <w:tcPr>
            <w:tcW w:w="1636" w:type="pct"/>
            <w:vAlign w:val="center"/>
          </w:tcPr>
          <w:p w14:paraId="09D925B6">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highlight w:val="none"/>
              </w:rPr>
              <w:t>0.1</w:t>
            </w:r>
            <w:r>
              <w:rPr>
                <w:rFonts w:hint="eastAsia" w:hAnsi="宋体" w:cs="宋体"/>
                <w:kern w:val="0"/>
                <w:sz w:val="18"/>
                <w:szCs w:val="18"/>
                <w:highlight w:val="none"/>
                <w:lang w:eastAsia="zh-CN"/>
              </w:rPr>
              <w:t>~</w:t>
            </w:r>
            <w:r>
              <w:rPr>
                <w:rFonts w:hint="eastAsia" w:ascii="宋体" w:hAnsi="宋体" w:eastAsia="宋体" w:cs="宋体"/>
                <w:kern w:val="0"/>
                <w:sz w:val="18"/>
                <w:szCs w:val="18"/>
                <w:highlight w:val="none"/>
              </w:rPr>
              <w:t>0.2</w:t>
            </w:r>
          </w:p>
        </w:tc>
      </w:tr>
      <w:tr w14:paraId="1D5E0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1011" w:type="pct"/>
            <w:vAlign w:val="center"/>
          </w:tcPr>
          <w:p w14:paraId="15395A2A">
            <w:pPr>
              <w:widowControl/>
              <w:spacing w:line="320" w:lineRule="exact"/>
              <w:jc w:val="center"/>
              <w:rPr>
                <w:rFonts w:hint="eastAsia" w:ascii="宋体" w:hAnsi="宋体" w:eastAsia="宋体" w:cs="宋体"/>
                <w:kern w:val="0"/>
                <w:sz w:val="18"/>
                <w:szCs w:val="18"/>
                <w:lang w:val="en-US" w:eastAsia="zh-CN"/>
              </w:rPr>
            </w:pPr>
            <w:r>
              <w:rPr>
                <w:rFonts w:hint="eastAsia" w:hAnsi="宋体" w:cs="宋体"/>
                <w:kern w:val="0"/>
                <w:sz w:val="18"/>
                <w:szCs w:val="18"/>
                <w:lang w:val="en-US" w:eastAsia="zh-CN"/>
              </w:rPr>
              <w:t>4</w:t>
            </w:r>
          </w:p>
        </w:tc>
        <w:tc>
          <w:tcPr>
            <w:tcW w:w="2352" w:type="pct"/>
            <w:vAlign w:val="center"/>
          </w:tcPr>
          <w:p w14:paraId="39D6C744">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堆垛通道距离</w:t>
            </w:r>
          </w:p>
        </w:tc>
        <w:tc>
          <w:tcPr>
            <w:tcW w:w="1636" w:type="pct"/>
            <w:vAlign w:val="center"/>
          </w:tcPr>
          <w:p w14:paraId="280BC53D">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w:t>
            </w:r>
            <w:r>
              <w:rPr>
                <w:rFonts w:hint="eastAsia" w:hAnsi="宋体" w:cs="宋体"/>
                <w:kern w:val="0"/>
                <w:sz w:val="18"/>
                <w:szCs w:val="18"/>
                <w:lang w:val="en-US" w:eastAsia="zh-CN"/>
              </w:rPr>
              <w:t>~</w:t>
            </w:r>
            <w:r>
              <w:rPr>
                <w:rFonts w:hint="eastAsia" w:ascii="宋体" w:hAnsi="宋体" w:eastAsia="宋体" w:cs="宋体"/>
                <w:kern w:val="0"/>
                <w:sz w:val="18"/>
                <w:szCs w:val="18"/>
                <w:lang w:val="en-US" w:eastAsia="zh-CN"/>
              </w:rPr>
              <w:t>0.2</w:t>
            </w:r>
          </w:p>
        </w:tc>
      </w:tr>
      <w:bookmarkEnd w:id="32"/>
      <w:bookmarkEnd w:id="34"/>
    </w:tbl>
    <w:p w14:paraId="2EFC9637">
      <w:pPr>
        <w:pStyle w:val="76"/>
        <w:bidi w:val="0"/>
        <w:rPr>
          <w:rFonts w:hint="eastAsia"/>
          <w:lang w:val="en-US" w:eastAsia="zh-CN"/>
        </w:rPr>
      </w:pPr>
      <w:bookmarkStart w:id="35" w:name="OLE_LINK17"/>
      <w:r>
        <w:rPr>
          <w:rFonts w:hint="eastAsia"/>
          <w:lang w:val="en-US" w:eastAsia="zh-CN"/>
        </w:rPr>
        <w:t>储藏</w:t>
      </w:r>
    </w:p>
    <w:p w14:paraId="0773DC85">
      <w:pPr>
        <w:pStyle w:val="82"/>
        <w:bidi w:val="0"/>
        <w:spacing w:before="0" w:beforeLines="0" w:after="0" w:afterLines="0"/>
        <w:rPr>
          <w:rFonts w:hint="eastAsia"/>
          <w:lang w:val="en-US" w:eastAsia="zh-CN"/>
        </w:rPr>
      </w:pPr>
      <w:r>
        <w:rPr>
          <w:rFonts w:hint="eastAsia"/>
          <w:lang w:val="en-US" w:eastAsia="zh-CN"/>
        </w:rPr>
        <w:t>临沧坚果产品可按规格、等级、加工程度等分区域分别储藏。临沧坚果壳果的储藏条件应符合表2的规定。临沧坚果开口壳果的储藏条件应符合表3的规定。临沧坚果果仁的储藏条件应符合表4的规定。</w:t>
      </w:r>
    </w:p>
    <w:p w14:paraId="7DAA3D9A">
      <w:pPr>
        <w:pStyle w:val="129"/>
        <w:bidi w:val="0"/>
        <w:rPr>
          <w:rFonts w:hint="eastAsia"/>
          <w:sz w:val="18"/>
          <w:szCs w:val="18"/>
          <w:lang w:val="en-US" w:eastAsia="zh-CN"/>
        </w:rPr>
      </w:pPr>
      <w:r>
        <w:rPr>
          <w:rFonts w:hint="eastAsia"/>
          <w:sz w:val="18"/>
          <w:szCs w:val="18"/>
          <w:lang w:val="en-US" w:eastAsia="zh-CN"/>
        </w:rPr>
        <w:t>临沧坚果壳果的储藏条件</w:t>
      </w:r>
    </w:p>
    <w:tbl>
      <w:tblPr>
        <w:tblStyle w:val="22"/>
        <w:tblW w:w="958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7"/>
        <w:gridCol w:w="4777"/>
        <w:gridCol w:w="1125"/>
        <w:gridCol w:w="1286"/>
      </w:tblGrid>
      <w:tr w14:paraId="647621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trPr>
        <w:tc>
          <w:tcPr>
            <w:tcW w:w="2397" w:type="dxa"/>
            <w:vAlign w:val="center"/>
          </w:tcPr>
          <w:p w14:paraId="75045ED8">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产品类别</w:t>
            </w:r>
          </w:p>
        </w:tc>
        <w:tc>
          <w:tcPr>
            <w:tcW w:w="4777" w:type="dxa"/>
            <w:vAlign w:val="center"/>
          </w:tcPr>
          <w:p w14:paraId="4D499D4B">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p>
        </w:tc>
        <w:tc>
          <w:tcPr>
            <w:tcW w:w="2411" w:type="dxa"/>
            <w:gridSpan w:val="2"/>
            <w:vAlign w:val="center"/>
          </w:tcPr>
          <w:p w14:paraId="231539A1">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储藏</w:t>
            </w:r>
            <w:r>
              <w:rPr>
                <w:rFonts w:hint="eastAsia" w:ascii="宋体" w:hAnsi="宋体" w:eastAsia="宋体" w:cs="宋体"/>
                <w:kern w:val="0"/>
                <w:sz w:val="18"/>
                <w:szCs w:val="18"/>
              </w:rPr>
              <w:t>条件</w:t>
            </w:r>
          </w:p>
        </w:tc>
      </w:tr>
      <w:tr w14:paraId="64E3AD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2397" w:type="dxa"/>
            <w:vMerge w:val="restart"/>
            <w:vAlign w:val="center"/>
          </w:tcPr>
          <w:p w14:paraId="79D01675">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壳果</w:t>
            </w:r>
          </w:p>
        </w:tc>
        <w:tc>
          <w:tcPr>
            <w:tcW w:w="4777" w:type="dxa"/>
            <w:vAlign w:val="center"/>
          </w:tcPr>
          <w:p w14:paraId="60A7BB42">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储存方式</w:t>
            </w:r>
          </w:p>
        </w:tc>
        <w:tc>
          <w:tcPr>
            <w:tcW w:w="1125" w:type="dxa"/>
            <w:vAlign w:val="center"/>
          </w:tcPr>
          <w:p w14:paraId="0C5F5781">
            <w:pPr>
              <w:widowControl/>
              <w:spacing w:line="320" w:lineRule="exact"/>
              <w:jc w:val="center"/>
              <w:rPr>
                <w:rFonts w:hint="eastAsia" w:ascii="宋体" w:hAnsi="宋体" w:eastAsia="宋体" w:cs="宋体"/>
                <w:kern w:val="0"/>
                <w:sz w:val="18"/>
                <w:szCs w:val="18"/>
                <w:lang w:val="en-US" w:eastAsia="zh-CN"/>
              </w:rPr>
            </w:pPr>
            <w:r>
              <w:rPr>
                <w:rFonts w:hint="eastAsia" w:hAnsi="宋体" w:cs="宋体"/>
                <w:kern w:val="0"/>
                <w:sz w:val="18"/>
                <w:szCs w:val="18"/>
                <w:lang w:val="en-US" w:eastAsia="zh-CN"/>
              </w:rPr>
              <w:t>常温</w:t>
            </w:r>
            <w:r>
              <w:rPr>
                <w:rFonts w:hint="eastAsia" w:ascii="宋体" w:hAnsi="宋体" w:eastAsia="宋体" w:cs="宋体"/>
                <w:kern w:val="0"/>
                <w:sz w:val="18"/>
                <w:szCs w:val="18"/>
                <w:lang w:val="en-US" w:eastAsia="zh-CN"/>
              </w:rPr>
              <w:t>储藏</w:t>
            </w:r>
          </w:p>
        </w:tc>
        <w:tc>
          <w:tcPr>
            <w:tcW w:w="1286" w:type="dxa"/>
            <w:vAlign w:val="center"/>
          </w:tcPr>
          <w:p w14:paraId="21204089">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冷库储藏</w:t>
            </w:r>
          </w:p>
        </w:tc>
      </w:tr>
      <w:tr w14:paraId="0A2AA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2397" w:type="dxa"/>
            <w:vMerge w:val="continue"/>
            <w:vAlign w:val="center"/>
          </w:tcPr>
          <w:p w14:paraId="711CCA3E">
            <w:pPr>
              <w:widowControl/>
              <w:spacing w:line="320" w:lineRule="exact"/>
              <w:jc w:val="center"/>
              <w:rPr>
                <w:rFonts w:hint="eastAsia" w:ascii="宋体" w:hAnsi="宋体" w:eastAsia="宋体" w:cs="宋体"/>
                <w:kern w:val="0"/>
                <w:sz w:val="18"/>
                <w:szCs w:val="18"/>
                <w:lang w:val="en-US" w:eastAsia="zh-CN"/>
              </w:rPr>
            </w:pPr>
          </w:p>
        </w:tc>
        <w:tc>
          <w:tcPr>
            <w:tcW w:w="4777" w:type="dxa"/>
            <w:vAlign w:val="center"/>
          </w:tcPr>
          <w:p w14:paraId="542C5D35">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储存温度</w:t>
            </w:r>
          </w:p>
        </w:tc>
        <w:tc>
          <w:tcPr>
            <w:tcW w:w="1125" w:type="dxa"/>
            <w:vAlign w:val="center"/>
          </w:tcPr>
          <w:p w14:paraId="472062CA">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常温</w:t>
            </w:r>
          </w:p>
        </w:tc>
        <w:tc>
          <w:tcPr>
            <w:tcW w:w="1286" w:type="dxa"/>
            <w:shd w:val="clear" w:color="auto" w:fill="auto"/>
            <w:vAlign w:val="center"/>
          </w:tcPr>
          <w:p w14:paraId="5B7EFB1D">
            <w:pPr>
              <w:widowControl/>
              <w:spacing w:line="320" w:lineRule="exact"/>
              <w:jc w:val="center"/>
              <w:rPr>
                <w:rFonts w:hint="eastAsia" w:ascii="宋体" w:hAnsi="宋体" w:eastAsia="宋体" w:cs="宋体"/>
                <w:color w:val="FF0000"/>
                <w:kern w:val="0"/>
                <w:sz w:val="18"/>
                <w:szCs w:val="18"/>
                <w:highlight w:val="none"/>
                <w:lang w:val="en-US" w:eastAsia="zh-CN" w:bidi="ar-SA"/>
              </w:rPr>
            </w:pPr>
            <w:r>
              <w:rPr>
                <w:rFonts w:hint="eastAsia" w:hAnsi="宋体" w:cs="宋体"/>
                <w:color w:val="FF0000"/>
                <w:kern w:val="0"/>
                <w:sz w:val="18"/>
                <w:szCs w:val="18"/>
                <w:highlight w:val="none"/>
                <w:lang w:val="en-US" w:eastAsia="zh-CN"/>
              </w:rPr>
              <w:t>4</w:t>
            </w:r>
            <w:r>
              <w:rPr>
                <w:rFonts w:hint="eastAsia" w:ascii="宋体" w:hAnsi="宋体" w:eastAsia="宋体" w:cs="宋体"/>
                <w:color w:val="FF0000"/>
                <w:kern w:val="0"/>
                <w:sz w:val="18"/>
                <w:szCs w:val="18"/>
                <w:highlight w:val="none"/>
                <w:lang w:val="en-US" w:eastAsia="zh-CN"/>
              </w:rPr>
              <w:t>℃</w:t>
            </w:r>
            <w:r>
              <w:rPr>
                <w:rFonts w:hint="eastAsia" w:hAnsi="宋体" w:cs="宋体"/>
                <w:color w:val="FF0000"/>
                <w:kern w:val="0"/>
                <w:sz w:val="18"/>
                <w:szCs w:val="18"/>
                <w:highlight w:val="none"/>
                <w:lang w:val="en-US" w:eastAsia="zh-CN"/>
              </w:rPr>
              <w:t>~8</w:t>
            </w:r>
            <w:r>
              <w:rPr>
                <w:rFonts w:hint="eastAsia" w:ascii="宋体" w:hAnsi="宋体" w:eastAsia="宋体" w:cs="宋体"/>
                <w:color w:val="FF0000"/>
                <w:kern w:val="0"/>
                <w:sz w:val="18"/>
                <w:szCs w:val="18"/>
                <w:highlight w:val="none"/>
                <w:lang w:val="en-US" w:eastAsia="zh-CN"/>
              </w:rPr>
              <w:t>℃</w:t>
            </w:r>
          </w:p>
        </w:tc>
      </w:tr>
      <w:tr w14:paraId="4098D3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2397" w:type="dxa"/>
            <w:vMerge w:val="continue"/>
            <w:vAlign w:val="center"/>
          </w:tcPr>
          <w:p w14:paraId="4A843736">
            <w:pPr>
              <w:widowControl/>
              <w:spacing w:line="320" w:lineRule="exact"/>
              <w:jc w:val="center"/>
              <w:rPr>
                <w:rFonts w:hint="eastAsia" w:ascii="宋体" w:hAnsi="宋体" w:eastAsia="宋体" w:cs="宋体"/>
                <w:kern w:val="0"/>
                <w:sz w:val="18"/>
                <w:szCs w:val="18"/>
                <w:highlight w:val="none"/>
                <w:lang w:val="en-US" w:eastAsia="zh-CN"/>
              </w:rPr>
            </w:pPr>
          </w:p>
        </w:tc>
        <w:tc>
          <w:tcPr>
            <w:tcW w:w="4777" w:type="dxa"/>
            <w:vAlign w:val="center"/>
          </w:tcPr>
          <w:p w14:paraId="420722CD">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水分</w:t>
            </w:r>
          </w:p>
        </w:tc>
        <w:tc>
          <w:tcPr>
            <w:tcW w:w="1125" w:type="dxa"/>
            <w:vAlign w:val="center"/>
          </w:tcPr>
          <w:p w14:paraId="3AA79AAE">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w:t>
            </w:r>
            <w:r>
              <w:rPr>
                <w:rFonts w:hint="eastAsia" w:hAnsi="宋体" w:cs="宋体"/>
                <w:kern w:val="0"/>
                <w:sz w:val="18"/>
                <w:szCs w:val="18"/>
                <w:highlight w:val="none"/>
                <w:lang w:val="en-US" w:eastAsia="zh-CN"/>
              </w:rPr>
              <w:t>~</w:t>
            </w:r>
            <w:r>
              <w:rPr>
                <w:rFonts w:hint="eastAsia" w:ascii="宋体" w:hAnsi="宋体" w:eastAsia="宋体" w:cs="宋体"/>
                <w:kern w:val="0"/>
                <w:sz w:val="18"/>
                <w:szCs w:val="18"/>
                <w:highlight w:val="none"/>
                <w:lang w:val="en-US" w:eastAsia="zh-CN"/>
              </w:rPr>
              <w:t>5%</w:t>
            </w:r>
          </w:p>
        </w:tc>
        <w:tc>
          <w:tcPr>
            <w:tcW w:w="1286" w:type="dxa"/>
            <w:shd w:val="clear" w:color="auto" w:fill="auto"/>
            <w:vAlign w:val="center"/>
          </w:tcPr>
          <w:p w14:paraId="75CF0FE2">
            <w:pPr>
              <w:widowControl/>
              <w:spacing w:line="320" w:lineRule="exact"/>
              <w:jc w:val="center"/>
              <w:rPr>
                <w:rFonts w:hint="eastAsia" w:ascii="宋体" w:hAnsi="宋体" w:eastAsia="宋体" w:cs="宋体"/>
                <w:color w:val="FF0000"/>
                <w:kern w:val="0"/>
                <w:sz w:val="18"/>
                <w:szCs w:val="18"/>
                <w:highlight w:val="none"/>
                <w:lang w:val="en-US" w:eastAsia="zh-CN" w:bidi="ar-SA"/>
              </w:rPr>
            </w:pPr>
            <w:r>
              <w:rPr>
                <w:rFonts w:hint="eastAsia" w:ascii="宋体" w:hAnsi="宋体" w:eastAsia="宋体" w:cs="宋体"/>
                <w:color w:val="FF0000"/>
                <w:kern w:val="0"/>
                <w:sz w:val="18"/>
                <w:szCs w:val="18"/>
                <w:highlight w:val="none"/>
                <w:lang w:val="en-US" w:eastAsia="zh-CN"/>
              </w:rPr>
              <w:t>1</w:t>
            </w:r>
            <w:r>
              <w:rPr>
                <w:rFonts w:hint="eastAsia" w:ascii="宋体" w:hAnsi="宋体" w:eastAsia="宋体" w:cs="宋体"/>
                <w:color w:val="FF0000"/>
                <w:kern w:val="0"/>
                <w:sz w:val="18"/>
                <w:szCs w:val="18"/>
                <w:highlight w:val="none"/>
                <w:lang w:val="en-US"/>
              </w:rPr>
              <w:t>%</w:t>
            </w:r>
            <w:r>
              <w:rPr>
                <w:rFonts w:hint="eastAsia" w:hAnsi="宋体" w:cs="宋体"/>
                <w:color w:val="FF0000"/>
                <w:kern w:val="0"/>
                <w:sz w:val="18"/>
                <w:szCs w:val="18"/>
                <w:highlight w:val="none"/>
                <w:lang w:val="en-US" w:eastAsia="zh-CN"/>
              </w:rPr>
              <w:t>~</w:t>
            </w:r>
            <w:r>
              <w:rPr>
                <w:rFonts w:hint="eastAsia" w:ascii="宋体" w:hAnsi="宋体" w:eastAsia="宋体" w:cs="宋体"/>
                <w:color w:val="FF0000"/>
                <w:kern w:val="0"/>
                <w:sz w:val="18"/>
                <w:szCs w:val="18"/>
                <w:highlight w:val="none"/>
                <w:lang w:val="en-US" w:eastAsia="zh-CN"/>
              </w:rPr>
              <w:t>3</w:t>
            </w:r>
            <w:r>
              <w:rPr>
                <w:rFonts w:hint="eastAsia" w:ascii="宋体" w:hAnsi="宋体" w:eastAsia="宋体" w:cs="宋体"/>
                <w:color w:val="FF0000"/>
                <w:kern w:val="0"/>
                <w:sz w:val="18"/>
                <w:szCs w:val="18"/>
                <w:highlight w:val="none"/>
                <w:lang w:val="en-US"/>
              </w:rPr>
              <w:t>%</w:t>
            </w:r>
          </w:p>
        </w:tc>
      </w:tr>
      <w:tr w14:paraId="7D4927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2397" w:type="dxa"/>
            <w:vMerge w:val="continue"/>
            <w:vAlign w:val="center"/>
          </w:tcPr>
          <w:p w14:paraId="21E9A244">
            <w:pPr>
              <w:widowControl/>
              <w:spacing w:line="320" w:lineRule="exact"/>
              <w:jc w:val="center"/>
              <w:rPr>
                <w:rFonts w:hint="eastAsia" w:ascii="宋体" w:hAnsi="宋体" w:eastAsia="宋体" w:cs="宋体"/>
                <w:kern w:val="0"/>
                <w:sz w:val="18"/>
                <w:szCs w:val="18"/>
                <w:highlight w:val="none"/>
                <w:lang w:val="en-US" w:eastAsia="zh-CN"/>
              </w:rPr>
            </w:pPr>
          </w:p>
        </w:tc>
        <w:tc>
          <w:tcPr>
            <w:tcW w:w="4777" w:type="dxa"/>
            <w:vAlign w:val="center"/>
          </w:tcPr>
          <w:p w14:paraId="766E3C9E">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最长储存时间</w:t>
            </w:r>
          </w:p>
        </w:tc>
        <w:tc>
          <w:tcPr>
            <w:tcW w:w="1125" w:type="dxa"/>
            <w:vAlign w:val="center"/>
          </w:tcPr>
          <w:p w14:paraId="79E518F0">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1年</w:t>
            </w:r>
          </w:p>
        </w:tc>
        <w:tc>
          <w:tcPr>
            <w:tcW w:w="1286" w:type="dxa"/>
            <w:shd w:val="clear" w:color="auto" w:fill="auto"/>
            <w:vAlign w:val="center"/>
          </w:tcPr>
          <w:p w14:paraId="3E908A1E">
            <w:pPr>
              <w:widowControl/>
              <w:spacing w:line="320" w:lineRule="exact"/>
              <w:jc w:val="center"/>
              <w:rPr>
                <w:rFonts w:hint="eastAsia" w:ascii="宋体" w:hAnsi="宋体" w:eastAsia="宋体" w:cs="宋体"/>
                <w:color w:val="FF0000"/>
                <w:kern w:val="0"/>
                <w:sz w:val="18"/>
                <w:szCs w:val="18"/>
                <w:highlight w:val="none"/>
                <w:lang w:val="en-US" w:eastAsia="zh-CN" w:bidi="ar-SA"/>
              </w:rPr>
            </w:pPr>
            <w:r>
              <w:rPr>
                <w:rFonts w:hint="eastAsia" w:hAnsi="宋体" w:cs="宋体"/>
                <w:color w:val="FF0000"/>
                <w:kern w:val="0"/>
                <w:sz w:val="18"/>
                <w:szCs w:val="18"/>
                <w:highlight w:val="none"/>
                <w:lang w:val="en-US" w:eastAsia="zh-CN"/>
              </w:rPr>
              <w:t>1年</w:t>
            </w:r>
          </w:p>
        </w:tc>
      </w:tr>
    </w:tbl>
    <w:p w14:paraId="0182E893">
      <w:pPr>
        <w:pStyle w:val="129"/>
        <w:bidi w:val="0"/>
        <w:rPr>
          <w:rFonts w:hint="default"/>
          <w:sz w:val="18"/>
          <w:szCs w:val="21"/>
          <w:lang w:val="en-US" w:eastAsia="zh-CN"/>
        </w:rPr>
      </w:pPr>
      <w:r>
        <w:rPr>
          <w:rFonts w:hint="default"/>
          <w:sz w:val="18"/>
          <w:szCs w:val="21"/>
          <w:lang w:val="en-US" w:eastAsia="zh-CN"/>
        </w:rPr>
        <w:t>临沧坚果开口壳果的储藏条件</w:t>
      </w:r>
    </w:p>
    <w:tbl>
      <w:tblPr>
        <w:tblStyle w:val="22"/>
        <w:tblW w:w="95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7"/>
        <w:gridCol w:w="4777"/>
        <w:gridCol w:w="1140"/>
        <w:gridCol w:w="1257"/>
      </w:tblGrid>
      <w:tr w14:paraId="6ED3B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397" w:type="dxa"/>
            <w:vAlign w:val="center"/>
          </w:tcPr>
          <w:p w14:paraId="2814CB05">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产品类别</w:t>
            </w:r>
          </w:p>
        </w:tc>
        <w:tc>
          <w:tcPr>
            <w:tcW w:w="4777" w:type="dxa"/>
            <w:vAlign w:val="center"/>
          </w:tcPr>
          <w:p w14:paraId="394359E1">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项目</w:t>
            </w:r>
          </w:p>
        </w:tc>
        <w:tc>
          <w:tcPr>
            <w:tcW w:w="2397" w:type="dxa"/>
            <w:gridSpan w:val="2"/>
            <w:vAlign w:val="center"/>
          </w:tcPr>
          <w:p w14:paraId="12F3E43D">
            <w:pPr>
              <w:widowControl/>
              <w:spacing w:line="32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储藏</w:t>
            </w:r>
            <w:r>
              <w:rPr>
                <w:rFonts w:hint="eastAsia" w:ascii="宋体" w:hAnsi="宋体" w:eastAsia="宋体" w:cs="宋体"/>
                <w:kern w:val="0"/>
                <w:sz w:val="18"/>
                <w:szCs w:val="18"/>
                <w:highlight w:val="none"/>
              </w:rPr>
              <w:t>条件</w:t>
            </w:r>
          </w:p>
        </w:tc>
      </w:tr>
      <w:tr w14:paraId="5E574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jc w:val="center"/>
        </w:trPr>
        <w:tc>
          <w:tcPr>
            <w:tcW w:w="2397" w:type="dxa"/>
            <w:vMerge w:val="restart"/>
            <w:vAlign w:val="center"/>
          </w:tcPr>
          <w:p w14:paraId="166F7E5C">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开口壳果</w:t>
            </w:r>
          </w:p>
        </w:tc>
        <w:tc>
          <w:tcPr>
            <w:tcW w:w="4777" w:type="dxa"/>
            <w:vAlign w:val="center"/>
          </w:tcPr>
          <w:p w14:paraId="55D1330C">
            <w:pPr>
              <w:widowControl/>
              <w:spacing w:line="32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储存方式</w:t>
            </w:r>
          </w:p>
        </w:tc>
        <w:tc>
          <w:tcPr>
            <w:tcW w:w="1140" w:type="dxa"/>
            <w:tcBorders>
              <w:right w:val="single" w:color="auto" w:sz="4" w:space="0"/>
            </w:tcBorders>
            <w:vAlign w:val="center"/>
          </w:tcPr>
          <w:p w14:paraId="69FC8AC6">
            <w:pPr>
              <w:widowControl/>
              <w:spacing w:line="320" w:lineRule="exact"/>
              <w:jc w:val="center"/>
              <w:rPr>
                <w:rFonts w:hint="eastAsia" w:ascii="宋体" w:hAnsi="宋体" w:eastAsia="宋体" w:cs="宋体"/>
                <w:kern w:val="0"/>
                <w:sz w:val="18"/>
                <w:szCs w:val="18"/>
                <w:highlight w:val="none"/>
                <w:lang w:val="en-US" w:eastAsia="zh-CN"/>
              </w:rPr>
            </w:pPr>
            <w:r>
              <w:rPr>
                <w:rFonts w:hint="eastAsia" w:hAnsi="宋体" w:cs="宋体"/>
                <w:kern w:val="0"/>
                <w:sz w:val="18"/>
                <w:szCs w:val="18"/>
                <w:highlight w:val="none"/>
                <w:lang w:val="en-US" w:eastAsia="zh-CN"/>
              </w:rPr>
              <w:t>常温</w:t>
            </w:r>
            <w:r>
              <w:rPr>
                <w:rFonts w:hint="eastAsia" w:ascii="宋体" w:hAnsi="宋体" w:eastAsia="宋体" w:cs="宋体"/>
                <w:kern w:val="0"/>
                <w:sz w:val="18"/>
                <w:szCs w:val="18"/>
                <w:highlight w:val="none"/>
                <w:lang w:val="en-US" w:eastAsia="zh-CN"/>
              </w:rPr>
              <w:t>储藏</w:t>
            </w:r>
          </w:p>
        </w:tc>
        <w:tc>
          <w:tcPr>
            <w:tcW w:w="1257" w:type="dxa"/>
            <w:tcBorders>
              <w:left w:val="single" w:color="auto" w:sz="4" w:space="0"/>
            </w:tcBorders>
            <w:vAlign w:val="center"/>
          </w:tcPr>
          <w:p w14:paraId="3689CC34">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冷库储藏</w:t>
            </w:r>
          </w:p>
        </w:tc>
      </w:tr>
      <w:tr w14:paraId="1A05A8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jc w:val="center"/>
        </w:trPr>
        <w:tc>
          <w:tcPr>
            <w:tcW w:w="2397" w:type="dxa"/>
            <w:vMerge w:val="continue"/>
            <w:vAlign w:val="center"/>
          </w:tcPr>
          <w:p w14:paraId="64D4BBF9">
            <w:pPr>
              <w:widowControl/>
              <w:spacing w:line="320" w:lineRule="exact"/>
              <w:jc w:val="center"/>
              <w:rPr>
                <w:rFonts w:hint="eastAsia" w:ascii="宋体" w:hAnsi="宋体" w:eastAsia="宋体" w:cs="宋体"/>
                <w:kern w:val="0"/>
                <w:sz w:val="18"/>
                <w:szCs w:val="18"/>
                <w:highlight w:val="none"/>
                <w:lang w:val="en-US" w:eastAsia="zh-CN"/>
              </w:rPr>
            </w:pPr>
          </w:p>
        </w:tc>
        <w:tc>
          <w:tcPr>
            <w:tcW w:w="4777" w:type="dxa"/>
            <w:vAlign w:val="center"/>
          </w:tcPr>
          <w:p w14:paraId="59AA933E">
            <w:pPr>
              <w:widowControl/>
              <w:spacing w:line="32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储存温度</w:t>
            </w:r>
          </w:p>
        </w:tc>
        <w:tc>
          <w:tcPr>
            <w:tcW w:w="1140" w:type="dxa"/>
            <w:tcBorders>
              <w:right w:val="single" w:color="auto" w:sz="4" w:space="0"/>
            </w:tcBorders>
            <w:vAlign w:val="center"/>
          </w:tcPr>
          <w:p w14:paraId="696297E7">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常温</w:t>
            </w:r>
          </w:p>
        </w:tc>
        <w:tc>
          <w:tcPr>
            <w:tcW w:w="1257" w:type="dxa"/>
            <w:tcBorders>
              <w:left w:val="single" w:color="auto" w:sz="4" w:space="0"/>
            </w:tcBorders>
            <w:vAlign w:val="center"/>
          </w:tcPr>
          <w:p w14:paraId="2001A7B4">
            <w:pPr>
              <w:widowControl/>
              <w:spacing w:line="320" w:lineRule="exact"/>
              <w:jc w:val="center"/>
              <w:rPr>
                <w:rFonts w:hint="eastAsia" w:ascii="宋体" w:hAnsi="宋体" w:eastAsia="宋体" w:cs="宋体"/>
                <w:kern w:val="0"/>
                <w:sz w:val="18"/>
                <w:szCs w:val="18"/>
                <w:highlight w:val="none"/>
                <w:lang w:val="en-US" w:eastAsia="zh-CN"/>
              </w:rPr>
            </w:pPr>
            <w:r>
              <w:rPr>
                <w:rFonts w:hint="eastAsia" w:hAnsi="宋体" w:cs="宋体"/>
                <w:kern w:val="0"/>
                <w:sz w:val="18"/>
                <w:szCs w:val="18"/>
                <w:highlight w:val="none"/>
                <w:lang w:val="en-US" w:eastAsia="zh-CN"/>
              </w:rPr>
              <w:t>4</w:t>
            </w:r>
            <w:r>
              <w:rPr>
                <w:rFonts w:hint="eastAsia" w:ascii="宋体" w:hAnsi="宋体" w:eastAsia="宋体" w:cs="宋体"/>
                <w:kern w:val="0"/>
                <w:sz w:val="18"/>
                <w:szCs w:val="18"/>
                <w:highlight w:val="none"/>
                <w:lang w:val="en-US" w:eastAsia="zh-CN"/>
              </w:rPr>
              <w:t>℃</w:t>
            </w:r>
            <w:r>
              <w:rPr>
                <w:rFonts w:hint="eastAsia" w:hAnsi="宋体" w:cs="宋体"/>
                <w:kern w:val="0"/>
                <w:sz w:val="18"/>
                <w:szCs w:val="18"/>
                <w:highlight w:val="none"/>
                <w:lang w:val="en-US" w:eastAsia="zh-CN"/>
              </w:rPr>
              <w:t>~8</w:t>
            </w:r>
            <w:r>
              <w:rPr>
                <w:rFonts w:hint="eastAsia" w:ascii="宋体" w:hAnsi="宋体" w:eastAsia="宋体" w:cs="宋体"/>
                <w:kern w:val="0"/>
                <w:sz w:val="18"/>
                <w:szCs w:val="18"/>
                <w:highlight w:val="none"/>
                <w:lang w:val="en-US" w:eastAsia="zh-CN"/>
              </w:rPr>
              <w:t>℃</w:t>
            </w:r>
          </w:p>
        </w:tc>
      </w:tr>
      <w:tr w14:paraId="28C82F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jc w:val="center"/>
        </w:trPr>
        <w:tc>
          <w:tcPr>
            <w:tcW w:w="2397" w:type="dxa"/>
            <w:vMerge w:val="continue"/>
            <w:vAlign w:val="center"/>
          </w:tcPr>
          <w:p w14:paraId="1C29D7A9">
            <w:pPr>
              <w:widowControl/>
              <w:spacing w:line="320" w:lineRule="exact"/>
              <w:jc w:val="center"/>
              <w:rPr>
                <w:rFonts w:hint="eastAsia" w:ascii="宋体" w:hAnsi="宋体" w:eastAsia="宋体" w:cs="宋体"/>
                <w:kern w:val="0"/>
                <w:sz w:val="18"/>
                <w:szCs w:val="18"/>
                <w:highlight w:val="none"/>
                <w:lang w:val="en-US" w:eastAsia="zh-CN"/>
              </w:rPr>
            </w:pPr>
          </w:p>
        </w:tc>
        <w:tc>
          <w:tcPr>
            <w:tcW w:w="4777" w:type="dxa"/>
            <w:vAlign w:val="center"/>
          </w:tcPr>
          <w:p w14:paraId="7E1CD603">
            <w:pPr>
              <w:widowControl/>
              <w:spacing w:line="320" w:lineRule="exact"/>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水分</w:t>
            </w:r>
          </w:p>
        </w:tc>
        <w:tc>
          <w:tcPr>
            <w:tcW w:w="1140" w:type="dxa"/>
            <w:tcBorders>
              <w:right w:val="single" w:color="auto" w:sz="4" w:space="0"/>
            </w:tcBorders>
            <w:vAlign w:val="center"/>
          </w:tcPr>
          <w:p w14:paraId="0989410C">
            <w:pPr>
              <w:widowControl/>
              <w:spacing w:line="320" w:lineRule="exact"/>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val="en-US"/>
              </w:rPr>
              <w:t>%</w:t>
            </w:r>
            <w:r>
              <w:rPr>
                <w:rFonts w:hint="eastAsia" w:hAnsi="宋体" w:cs="宋体"/>
                <w:kern w:val="0"/>
                <w:sz w:val="18"/>
                <w:szCs w:val="18"/>
                <w:highlight w:val="none"/>
                <w:lang w:val="en-US" w:eastAsia="zh-CN"/>
              </w:rPr>
              <w:t>~</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lang w:val="en-US"/>
              </w:rPr>
              <w:t>%</w:t>
            </w:r>
          </w:p>
        </w:tc>
        <w:tc>
          <w:tcPr>
            <w:tcW w:w="1257" w:type="dxa"/>
            <w:tcBorders>
              <w:left w:val="single" w:color="auto" w:sz="4" w:space="0"/>
            </w:tcBorders>
            <w:vAlign w:val="center"/>
          </w:tcPr>
          <w:p w14:paraId="4539CBCB">
            <w:pPr>
              <w:widowControl/>
              <w:spacing w:line="32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val="en-US"/>
              </w:rPr>
              <w:t>%</w:t>
            </w:r>
            <w:r>
              <w:rPr>
                <w:rFonts w:hint="eastAsia" w:hAnsi="宋体" w:cs="宋体"/>
                <w:kern w:val="0"/>
                <w:sz w:val="18"/>
                <w:szCs w:val="18"/>
                <w:highlight w:val="none"/>
                <w:lang w:val="en-US" w:eastAsia="zh-CN"/>
              </w:rPr>
              <w:t>~</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lang w:val="en-US"/>
              </w:rPr>
              <w:t>%</w:t>
            </w:r>
          </w:p>
        </w:tc>
      </w:tr>
      <w:tr w14:paraId="7ABC8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jc w:val="center"/>
        </w:trPr>
        <w:tc>
          <w:tcPr>
            <w:tcW w:w="2397" w:type="dxa"/>
            <w:vMerge w:val="continue"/>
            <w:vAlign w:val="center"/>
          </w:tcPr>
          <w:p w14:paraId="72895986">
            <w:pPr>
              <w:widowControl/>
              <w:spacing w:line="320" w:lineRule="exact"/>
              <w:jc w:val="center"/>
              <w:rPr>
                <w:rFonts w:hint="eastAsia" w:ascii="宋体" w:hAnsi="宋体" w:eastAsia="宋体" w:cs="宋体"/>
                <w:kern w:val="0"/>
                <w:sz w:val="18"/>
                <w:szCs w:val="18"/>
                <w:highlight w:val="none"/>
                <w:lang w:val="en-US" w:eastAsia="zh-CN"/>
              </w:rPr>
            </w:pPr>
          </w:p>
        </w:tc>
        <w:tc>
          <w:tcPr>
            <w:tcW w:w="4777" w:type="dxa"/>
            <w:shd w:val="clear" w:color="auto" w:fill="auto"/>
            <w:vAlign w:val="center"/>
          </w:tcPr>
          <w:p w14:paraId="5345AA80">
            <w:pPr>
              <w:widowControl/>
              <w:spacing w:line="32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最长储存时间</w:t>
            </w:r>
          </w:p>
        </w:tc>
        <w:tc>
          <w:tcPr>
            <w:tcW w:w="1140" w:type="dxa"/>
            <w:tcBorders>
              <w:right w:val="single" w:color="auto" w:sz="4" w:space="0"/>
            </w:tcBorders>
            <w:shd w:val="clear" w:color="auto" w:fill="auto"/>
            <w:vAlign w:val="center"/>
          </w:tcPr>
          <w:p w14:paraId="7D031B84">
            <w:pPr>
              <w:widowControl/>
              <w:spacing w:line="32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6个月以内</w:t>
            </w:r>
          </w:p>
        </w:tc>
        <w:tc>
          <w:tcPr>
            <w:tcW w:w="1257" w:type="dxa"/>
            <w:tcBorders>
              <w:left w:val="single" w:color="auto" w:sz="4" w:space="0"/>
            </w:tcBorders>
            <w:shd w:val="clear" w:color="auto" w:fill="auto"/>
            <w:vAlign w:val="center"/>
          </w:tcPr>
          <w:p w14:paraId="6DB7EAA1">
            <w:pPr>
              <w:widowControl/>
              <w:spacing w:line="320" w:lineRule="exact"/>
              <w:jc w:val="center"/>
              <w:rPr>
                <w:rFonts w:hint="default" w:ascii="宋体" w:hAnsi="宋体" w:eastAsia="宋体" w:cs="宋体"/>
                <w:kern w:val="0"/>
                <w:sz w:val="18"/>
                <w:szCs w:val="18"/>
                <w:highlight w:val="none"/>
                <w:lang w:val="en-US" w:eastAsia="zh-CN"/>
              </w:rPr>
            </w:pPr>
            <w:r>
              <w:rPr>
                <w:rFonts w:hint="eastAsia" w:hAnsi="宋体" w:cs="宋体"/>
                <w:kern w:val="0"/>
                <w:sz w:val="18"/>
                <w:szCs w:val="18"/>
                <w:highlight w:val="none"/>
                <w:lang w:val="en-US" w:eastAsia="zh-CN"/>
              </w:rPr>
              <w:t>1年</w:t>
            </w:r>
          </w:p>
        </w:tc>
      </w:tr>
    </w:tbl>
    <w:p w14:paraId="018BA422">
      <w:pPr>
        <w:pStyle w:val="129"/>
        <w:bidi w:val="0"/>
        <w:rPr>
          <w:rFonts w:hint="eastAsia"/>
          <w:sz w:val="18"/>
          <w:szCs w:val="18"/>
          <w:lang w:val="en-US" w:eastAsia="zh-CN"/>
        </w:rPr>
      </w:pPr>
      <w:r>
        <w:rPr>
          <w:rFonts w:hint="eastAsia"/>
          <w:sz w:val="18"/>
          <w:szCs w:val="18"/>
          <w:lang w:val="en-US" w:eastAsia="zh-CN"/>
        </w:rPr>
        <w:t>临沧坚果果仁的储藏条件</w:t>
      </w:r>
    </w:p>
    <w:tbl>
      <w:tblPr>
        <w:tblStyle w:val="22"/>
        <w:tblW w:w="95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7"/>
        <w:gridCol w:w="4777"/>
        <w:gridCol w:w="1145"/>
        <w:gridCol w:w="1252"/>
      </w:tblGrid>
      <w:tr w14:paraId="176914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6AA21C0D">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产品类别</w:t>
            </w:r>
          </w:p>
        </w:tc>
        <w:tc>
          <w:tcPr>
            <w:tcW w:w="4777" w:type="dxa"/>
            <w:vAlign w:val="center"/>
          </w:tcPr>
          <w:p w14:paraId="480178FB">
            <w:pPr>
              <w:widowControl/>
              <w:spacing w:line="320" w:lineRule="exact"/>
              <w:jc w:val="center"/>
              <w:rPr>
                <w:rFonts w:hint="default" w:ascii="宋体" w:hAnsi="宋体" w:eastAsia="宋体" w:cs="宋体"/>
                <w:kern w:val="0"/>
                <w:sz w:val="18"/>
                <w:szCs w:val="18"/>
                <w:lang w:val="en-US" w:eastAsia="zh-CN"/>
              </w:rPr>
            </w:pPr>
            <w:r>
              <w:rPr>
                <w:rFonts w:hint="eastAsia" w:hAnsi="宋体" w:cs="宋体"/>
                <w:kern w:val="0"/>
                <w:sz w:val="18"/>
                <w:szCs w:val="18"/>
                <w:lang w:val="en-US" w:eastAsia="zh-CN"/>
              </w:rPr>
              <w:t>检查项目</w:t>
            </w:r>
          </w:p>
        </w:tc>
        <w:tc>
          <w:tcPr>
            <w:tcW w:w="2397" w:type="dxa"/>
            <w:gridSpan w:val="2"/>
            <w:vAlign w:val="center"/>
          </w:tcPr>
          <w:p w14:paraId="6DAE6023">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贮存条件</w:t>
            </w:r>
          </w:p>
        </w:tc>
      </w:tr>
      <w:tr w14:paraId="16D1B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Merge w:val="restart"/>
            <w:vAlign w:val="center"/>
          </w:tcPr>
          <w:p w14:paraId="4280A09B">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果仁</w:t>
            </w:r>
          </w:p>
        </w:tc>
        <w:tc>
          <w:tcPr>
            <w:tcW w:w="4777" w:type="dxa"/>
            <w:vAlign w:val="center"/>
          </w:tcPr>
          <w:p w14:paraId="41352B63">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储存方式</w:t>
            </w:r>
          </w:p>
        </w:tc>
        <w:tc>
          <w:tcPr>
            <w:tcW w:w="1145" w:type="dxa"/>
            <w:tcBorders>
              <w:right w:val="single" w:color="auto" w:sz="4" w:space="0"/>
            </w:tcBorders>
            <w:vAlign w:val="center"/>
          </w:tcPr>
          <w:p w14:paraId="40550CC0">
            <w:pPr>
              <w:widowControl/>
              <w:spacing w:line="320" w:lineRule="exact"/>
              <w:jc w:val="center"/>
              <w:rPr>
                <w:rFonts w:hint="eastAsia" w:ascii="宋体" w:hAnsi="宋体" w:eastAsia="宋体" w:cs="宋体"/>
                <w:kern w:val="0"/>
                <w:sz w:val="18"/>
                <w:szCs w:val="18"/>
              </w:rPr>
            </w:pPr>
            <w:r>
              <w:rPr>
                <w:rFonts w:hint="eastAsia" w:hAnsi="宋体" w:cs="宋体"/>
                <w:kern w:val="0"/>
                <w:sz w:val="18"/>
                <w:szCs w:val="18"/>
                <w:lang w:val="en-US" w:eastAsia="zh-CN"/>
              </w:rPr>
              <w:t>常温</w:t>
            </w:r>
            <w:r>
              <w:rPr>
                <w:rFonts w:hint="eastAsia" w:ascii="宋体" w:hAnsi="宋体" w:eastAsia="宋体" w:cs="宋体"/>
                <w:kern w:val="0"/>
                <w:sz w:val="18"/>
                <w:szCs w:val="18"/>
              </w:rPr>
              <w:t>储藏</w:t>
            </w:r>
          </w:p>
        </w:tc>
        <w:tc>
          <w:tcPr>
            <w:tcW w:w="1252" w:type="dxa"/>
            <w:tcBorders>
              <w:left w:val="single" w:color="auto" w:sz="4" w:space="0"/>
            </w:tcBorders>
            <w:vAlign w:val="center"/>
          </w:tcPr>
          <w:p w14:paraId="4313D0DE">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冷库储藏</w:t>
            </w:r>
          </w:p>
        </w:tc>
      </w:tr>
      <w:tr w14:paraId="1B8F4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jc w:val="center"/>
        </w:trPr>
        <w:tc>
          <w:tcPr>
            <w:tcW w:w="2397" w:type="dxa"/>
            <w:vMerge w:val="continue"/>
            <w:vAlign w:val="center"/>
          </w:tcPr>
          <w:p w14:paraId="62BD950C">
            <w:pPr>
              <w:widowControl/>
              <w:spacing w:line="320" w:lineRule="exact"/>
              <w:jc w:val="center"/>
              <w:rPr>
                <w:rFonts w:hint="eastAsia" w:ascii="宋体" w:hAnsi="宋体" w:eastAsia="宋体" w:cs="宋体"/>
                <w:kern w:val="0"/>
                <w:sz w:val="18"/>
                <w:szCs w:val="18"/>
                <w:lang w:val="en-US" w:eastAsia="zh-CN"/>
              </w:rPr>
            </w:pPr>
          </w:p>
        </w:tc>
        <w:tc>
          <w:tcPr>
            <w:tcW w:w="4777" w:type="dxa"/>
            <w:vAlign w:val="center"/>
          </w:tcPr>
          <w:p w14:paraId="5A538F52">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储存温度</w:t>
            </w:r>
          </w:p>
        </w:tc>
        <w:tc>
          <w:tcPr>
            <w:tcW w:w="1145" w:type="dxa"/>
            <w:tcBorders>
              <w:right w:val="single" w:color="auto" w:sz="4" w:space="0"/>
            </w:tcBorders>
            <w:vAlign w:val="center"/>
          </w:tcPr>
          <w:p w14:paraId="0C70372D">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常温</w:t>
            </w:r>
          </w:p>
        </w:tc>
        <w:tc>
          <w:tcPr>
            <w:tcW w:w="1252" w:type="dxa"/>
            <w:tcBorders>
              <w:left w:val="single" w:color="auto" w:sz="4" w:space="0"/>
            </w:tcBorders>
            <w:vAlign w:val="center"/>
          </w:tcPr>
          <w:p w14:paraId="69881703">
            <w:pPr>
              <w:widowControl/>
              <w:spacing w:line="320" w:lineRule="exact"/>
              <w:jc w:val="center"/>
              <w:rPr>
                <w:rFonts w:hint="eastAsia" w:ascii="宋体" w:hAnsi="宋体" w:eastAsia="宋体" w:cs="宋体"/>
                <w:kern w:val="0"/>
                <w:sz w:val="18"/>
                <w:szCs w:val="18"/>
                <w:lang w:val="en-US" w:eastAsia="zh-CN"/>
              </w:rPr>
            </w:pPr>
            <w:r>
              <w:rPr>
                <w:rFonts w:hint="eastAsia" w:hAnsi="宋体" w:cs="宋体"/>
                <w:kern w:val="0"/>
                <w:sz w:val="18"/>
                <w:szCs w:val="18"/>
                <w:lang w:val="en-US" w:eastAsia="zh-CN"/>
              </w:rPr>
              <w:t>4</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w:t>
            </w:r>
            <w:r>
              <w:rPr>
                <w:rFonts w:hint="eastAsia" w:ascii="宋体" w:hAnsi="宋体" w:eastAsia="宋体" w:cs="宋体"/>
                <w:kern w:val="0"/>
                <w:sz w:val="18"/>
                <w:szCs w:val="18"/>
                <w:lang w:val="en-US" w:eastAsia="zh-CN"/>
              </w:rPr>
              <w:t>8℃</w:t>
            </w:r>
          </w:p>
        </w:tc>
      </w:tr>
      <w:tr w14:paraId="1225A9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Merge w:val="continue"/>
            <w:vAlign w:val="center"/>
          </w:tcPr>
          <w:p w14:paraId="4A7F95F4">
            <w:pPr>
              <w:widowControl/>
              <w:spacing w:line="320" w:lineRule="exact"/>
              <w:jc w:val="center"/>
              <w:rPr>
                <w:rFonts w:hint="eastAsia" w:ascii="宋体" w:hAnsi="宋体" w:eastAsia="宋体" w:cs="宋体"/>
                <w:kern w:val="0"/>
                <w:sz w:val="18"/>
                <w:szCs w:val="18"/>
                <w:lang w:val="en-US" w:eastAsia="zh-CN"/>
              </w:rPr>
            </w:pPr>
          </w:p>
        </w:tc>
        <w:tc>
          <w:tcPr>
            <w:tcW w:w="4777" w:type="dxa"/>
            <w:vAlign w:val="center"/>
          </w:tcPr>
          <w:p w14:paraId="18284317">
            <w:pPr>
              <w:widowControl/>
              <w:spacing w:line="32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水分</w:t>
            </w:r>
          </w:p>
        </w:tc>
        <w:tc>
          <w:tcPr>
            <w:tcW w:w="1145" w:type="dxa"/>
            <w:tcBorders>
              <w:bottom w:val="single" w:color="auto" w:sz="4" w:space="0"/>
              <w:right w:val="single" w:color="auto" w:sz="4" w:space="0"/>
            </w:tcBorders>
            <w:vAlign w:val="center"/>
          </w:tcPr>
          <w:p w14:paraId="28687754">
            <w:pPr>
              <w:widowControl/>
              <w:spacing w:line="32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r>
              <w:rPr>
                <w:rFonts w:hint="eastAsia" w:hAnsi="宋体" w:cs="宋体"/>
                <w:kern w:val="0"/>
                <w:sz w:val="18"/>
                <w:szCs w:val="18"/>
                <w:lang w:val="en-US" w:eastAsia="zh-CN"/>
              </w:rPr>
              <w:t>~</w:t>
            </w:r>
            <w:r>
              <w:rPr>
                <w:rFonts w:hint="eastAsia" w:ascii="宋体" w:hAnsi="宋体" w:eastAsia="宋体" w:cs="宋体"/>
                <w:kern w:val="0"/>
                <w:sz w:val="18"/>
                <w:szCs w:val="18"/>
                <w:lang w:val="en-US"/>
              </w:rPr>
              <w:t>3%</w:t>
            </w:r>
          </w:p>
        </w:tc>
        <w:tc>
          <w:tcPr>
            <w:tcW w:w="1252" w:type="dxa"/>
            <w:tcBorders>
              <w:left w:val="single" w:color="auto" w:sz="4" w:space="0"/>
              <w:bottom w:val="single" w:color="auto" w:sz="4" w:space="0"/>
            </w:tcBorders>
            <w:vAlign w:val="center"/>
          </w:tcPr>
          <w:p w14:paraId="71AC3BF1">
            <w:pPr>
              <w:widowControl/>
              <w:spacing w:line="32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r>
              <w:rPr>
                <w:rFonts w:hint="eastAsia" w:hAnsi="宋体" w:cs="宋体"/>
                <w:kern w:val="0"/>
                <w:sz w:val="18"/>
                <w:szCs w:val="18"/>
                <w:lang w:val="en-US" w:eastAsia="zh-CN"/>
              </w:rPr>
              <w:t>~</w:t>
            </w:r>
            <w:r>
              <w:rPr>
                <w:rFonts w:hint="eastAsia" w:ascii="宋体" w:hAnsi="宋体" w:eastAsia="宋体" w:cs="宋体"/>
                <w:kern w:val="0"/>
                <w:sz w:val="18"/>
                <w:szCs w:val="18"/>
                <w:lang w:val="en-US"/>
              </w:rPr>
              <w:t>3%</w:t>
            </w:r>
          </w:p>
        </w:tc>
      </w:tr>
      <w:tr w14:paraId="1C9F2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Merge w:val="continue"/>
            <w:vAlign w:val="center"/>
          </w:tcPr>
          <w:p w14:paraId="686504B7">
            <w:pPr>
              <w:widowControl/>
              <w:spacing w:line="320" w:lineRule="exact"/>
              <w:jc w:val="center"/>
              <w:rPr>
                <w:rFonts w:hint="eastAsia" w:ascii="宋体" w:hAnsi="宋体" w:eastAsia="宋体" w:cs="宋体"/>
                <w:kern w:val="0"/>
                <w:sz w:val="18"/>
                <w:szCs w:val="18"/>
                <w:lang w:val="en-US" w:eastAsia="zh-CN"/>
              </w:rPr>
            </w:pPr>
          </w:p>
        </w:tc>
        <w:tc>
          <w:tcPr>
            <w:tcW w:w="4777" w:type="dxa"/>
            <w:vAlign w:val="center"/>
          </w:tcPr>
          <w:p w14:paraId="0876D3C6">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最长储存时间</w:t>
            </w:r>
          </w:p>
        </w:tc>
        <w:tc>
          <w:tcPr>
            <w:tcW w:w="1145" w:type="dxa"/>
            <w:tcBorders>
              <w:top w:val="single" w:color="auto" w:sz="4" w:space="0"/>
              <w:right w:val="single" w:color="auto" w:sz="4" w:space="0"/>
            </w:tcBorders>
            <w:vAlign w:val="center"/>
          </w:tcPr>
          <w:p w14:paraId="1EE4006C">
            <w:pPr>
              <w:widowControl/>
              <w:spacing w:line="3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6个月以内</w:t>
            </w:r>
          </w:p>
        </w:tc>
        <w:tc>
          <w:tcPr>
            <w:tcW w:w="1252" w:type="dxa"/>
            <w:tcBorders>
              <w:top w:val="single" w:color="auto" w:sz="4" w:space="0"/>
              <w:left w:val="single" w:color="auto" w:sz="4" w:space="0"/>
            </w:tcBorders>
            <w:vAlign w:val="center"/>
          </w:tcPr>
          <w:p w14:paraId="4433D7EB">
            <w:pPr>
              <w:widowControl/>
              <w:spacing w:line="320" w:lineRule="exact"/>
              <w:jc w:val="center"/>
              <w:rPr>
                <w:rFonts w:hint="default" w:ascii="宋体" w:hAnsi="宋体" w:eastAsia="宋体" w:cs="宋体"/>
                <w:kern w:val="0"/>
                <w:sz w:val="18"/>
                <w:szCs w:val="18"/>
                <w:lang w:val="en-US" w:eastAsia="zh-CN"/>
              </w:rPr>
            </w:pPr>
            <w:r>
              <w:rPr>
                <w:rFonts w:hint="eastAsia" w:hAnsi="宋体" w:cs="宋体"/>
                <w:kern w:val="0"/>
                <w:sz w:val="18"/>
                <w:szCs w:val="18"/>
                <w:lang w:val="en-US" w:eastAsia="zh-CN"/>
              </w:rPr>
              <w:t>1年</w:t>
            </w:r>
          </w:p>
        </w:tc>
      </w:tr>
      <w:bookmarkEnd w:id="35"/>
    </w:tbl>
    <w:p w14:paraId="34E4295B">
      <w:pPr>
        <w:pStyle w:val="82"/>
        <w:bidi w:val="0"/>
        <w:rPr>
          <w:rFonts w:hint="eastAsia"/>
          <w:lang w:val="en-US" w:eastAsia="zh-CN"/>
        </w:rPr>
      </w:pPr>
      <w:r>
        <w:rPr>
          <w:rFonts w:hint="eastAsia"/>
          <w:lang w:val="en-US" w:eastAsia="zh-CN"/>
        </w:rPr>
        <w:t>临沧坚果储藏期间，库房管理员应对储藏条件进行定期检查，并对检查结果进行记录。检查内容至少应包括温湿度、虫害和产品色泽、水分、发芽率、过氧化值、酸价和黄曲霉毒素。检查方法见表5。</w:t>
      </w:r>
    </w:p>
    <w:p w14:paraId="54474420">
      <w:pPr>
        <w:pStyle w:val="129"/>
        <w:bidi w:val="0"/>
        <w:rPr>
          <w:rFonts w:hint="eastAsia"/>
          <w:sz w:val="18"/>
          <w:szCs w:val="18"/>
          <w:lang w:val="en-US" w:eastAsia="zh-CN"/>
        </w:rPr>
      </w:pPr>
      <w:r>
        <w:rPr>
          <w:rFonts w:hint="eastAsia"/>
          <w:sz w:val="18"/>
          <w:szCs w:val="18"/>
          <w:lang w:val="en-US" w:eastAsia="zh-CN"/>
        </w:rPr>
        <w:t>临沧坚果储藏条件检查表</w:t>
      </w:r>
    </w:p>
    <w:tbl>
      <w:tblPr>
        <w:tblStyle w:val="22"/>
        <w:tblW w:w="95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7"/>
        <w:gridCol w:w="7174"/>
      </w:tblGrid>
      <w:tr w14:paraId="5B7A33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6EE9FEDE">
            <w:pPr>
              <w:widowControl/>
              <w:spacing w:line="320" w:lineRule="exact"/>
              <w:jc w:val="center"/>
              <w:rPr>
                <w:rFonts w:hint="default" w:ascii="宋体" w:hAnsi="宋体" w:eastAsia="宋体" w:cs="宋体"/>
                <w:kern w:val="0"/>
                <w:sz w:val="18"/>
                <w:szCs w:val="18"/>
                <w:lang w:val="en-US" w:eastAsia="zh-CN"/>
              </w:rPr>
            </w:pPr>
            <w:r>
              <w:rPr>
                <w:rFonts w:hint="eastAsia" w:hAnsi="宋体" w:cs="宋体"/>
                <w:kern w:val="0"/>
                <w:sz w:val="18"/>
                <w:szCs w:val="18"/>
                <w:lang w:val="en-US" w:eastAsia="zh-CN"/>
              </w:rPr>
              <w:t>检查项目</w:t>
            </w:r>
          </w:p>
        </w:tc>
        <w:tc>
          <w:tcPr>
            <w:tcW w:w="7174" w:type="dxa"/>
            <w:vAlign w:val="center"/>
          </w:tcPr>
          <w:p w14:paraId="3ABA5116">
            <w:pPr>
              <w:widowControl/>
              <w:spacing w:line="320" w:lineRule="exact"/>
              <w:jc w:val="center"/>
              <w:rPr>
                <w:rFonts w:hint="default" w:ascii="宋体" w:hAnsi="宋体" w:eastAsia="宋体" w:cs="宋体"/>
                <w:kern w:val="0"/>
                <w:sz w:val="18"/>
                <w:szCs w:val="18"/>
                <w:lang w:val="en-US" w:eastAsia="zh-CN"/>
              </w:rPr>
            </w:pPr>
            <w:r>
              <w:rPr>
                <w:rFonts w:hint="eastAsia" w:hAnsi="宋体" w:cs="宋体"/>
                <w:kern w:val="0"/>
                <w:sz w:val="18"/>
                <w:szCs w:val="18"/>
                <w:lang w:val="en-US" w:eastAsia="zh-CN"/>
              </w:rPr>
              <w:t>检查方式</w:t>
            </w:r>
          </w:p>
        </w:tc>
      </w:tr>
      <w:tr w14:paraId="7B7C7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jc w:val="center"/>
        </w:trPr>
        <w:tc>
          <w:tcPr>
            <w:tcW w:w="2397" w:type="dxa"/>
            <w:vAlign w:val="center"/>
          </w:tcPr>
          <w:p w14:paraId="373B87E6">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温湿度</w:t>
            </w:r>
          </w:p>
        </w:tc>
        <w:tc>
          <w:tcPr>
            <w:tcW w:w="7174" w:type="dxa"/>
            <w:vAlign w:val="center"/>
          </w:tcPr>
          <w:p w14:paraId="26F938F0">
            <w:pPr>
              <w:pStyle w:val="82"/>
              <w:widowControl w:val="0"/>
              <w:numPr>
                <w:ilvl w:val="2"/>
                <w:numId w:val="0"/>
              </w:numPr>
              <w:rPr>
                <w:rFonts w:hint="default" w:hAnsi="宋体" w:cs="宋体"/>
                <w:kern w:val="0"/>
                <w:sz w:val="18"/>
                <w:szCs w:val="18"/>
                <w:lang w:val="en-US" w:eastAsia="zh-CN"/>
              </w:rPr>
            </w:pPr>
            <w:r>
              <w:rPr>
                <w:rFonts w:hint="eastAsia" w:hAnsi="宋体" w:cs="宋体"/>
                <w:kern w:val="0"/>
                <w:sz w:val="18"/>
                <w:szCs w:val="18"/>
                <w:lang w:val="en-US" w:eastAsia="zh-CN"/>
              </w:rPr>
              <w:t>至少一天检查一次，如发现异常应及时处理。</w:t>
            </w:r>
            <w:r>
              <w:rPr>
                <w:rFonts w:hint="eastAsia"/>
                <w:sz w:val="18"/>
                <w:szCs w:val="18"/>
                <w:lang w:val="en-US" w:eastAsia="zh-CN"/>
              </w:rPr>
              <w:t>在高温高湿季节，宜冷库储藏，气温下降或者温湿度较高时应予以通风。</w:t>
            </w:r>
          </w:p>
        </w:tc>
      </w:tr>
      <w:tr w14:paraId="52370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035B3FCF">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虫害</w:t>
            </w:r>
          </w:p>
        </w:tc>
        <w:tc>
          <w:tcPr>
            <w:tcW w:w="7174" w:type="dxa"/>
            <w:vAlign w:val="center"/>
          </w:tcPr>
          <w:p w14:paraId="38227AED">
            <w:pPr>
              <w:widowControl/>
              <w:spacing w:line="320" w:lineRule="exact"/>
              <w:jc w:val="both"/>
              <w:rPr>
                <w:rFonts w:hint="default" w:hAnsi="宋体" w:cs="宋体"/>
                <w:kern w:val="0"/>
                <w:sz w:val="18"/>
                <w:szCs w:val="18"/>
                <w:lang w:val="en-US" w:eastAsia="zh-CN"/>
              </w:rPr>
            </w:pPr>
            <w:r>
              <w:rPr>
                <w:rFonts w:hint="eastAsia"/>
                <w:sz w:val="18"/>
                <w:szCs w:val="18"/>
                <w:lang w:val="en-US" w:eastAsia="zh-CN"/>
              </w:rPr>
              <w:t>储藏温度</w:t>
            </w:r>
            <w:r>
              <w:rPr>
                <w:rFonts w:hint="eastAsia" w:hAnsi="宋体" w:cs="宋体"/>
                <w:kern w:val="0"/>
                <w:sz w:val="18"/>
                <w:szCs w:val="18"/>
                <w:lang w:val="en-US" w:eastAsia="zh-CN"/>
              </w:rPr>
              <w:t>15℃及以下每个月检查一次；</w:t>
            </w:r>
            <w:r>
              <w:rPr>
                <w:rFonts w:hint="eastAsia"/>
                <w:sz w:val="18"/>
                <w:szCs w:val="18"/>
                <w:lang w:val="en-US" w:eastAsia="zh-CN"/>
              </w:rPr>
              <w:t>储藏温度</w:t>
            </w:r>
            <w:r>
              <w:rPr>
                <w:rFonts w:hint="eastAsia" w:hAnsi="宋体" w:cs="宋体"/>
                <w:kern w:val="0"/>
                <w:sz w:val="18"/>
                <w:szCs w:val="18"/>
                <w:lang w:val="en-US" w:eastAsia="zh-CN"/>
              </w:rPr>
              <w:t>15℃</w:t>
            </w:r>
            <w:r>
              <w:rPr>
                <w:rFonts w:hint="eastAsia" w:ascii="宋体" w:hAnsi="宋体" w:eastAsia="宋体" w:cs="宋体"/>
                <w:kern w:val="0"/>
                <w:sz w:val="18"/>
                <w:szCs w:val="18"/>
                <w:lang w:val="en-US"/>
              </w:rPr>
              <w:t>～</w:t>
            </w:r>
            <w:r>
              <w:rPr>
                <w:rFonts w:hint="eastAsia" w:hAnsi="宋体" w:cs="宋体"/>
                <w:kern w:val="0"/>
                <w:sz w:val="18"/>
                <w:szCs w:val="18"/>
                <w:lang w:val="en-US" w:eastAsia="zh-CN"/>
              </w:rPr>
              <w:t>20</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应每半个月检查一次；</w:t>
            </w:r>
            <w:r>
              <w:rPr>
                <w:rFonts w:hint="eastAsia"/>
                <w:sz w:val="18"/>
                <w:szCs w:val="18"/>
                <w:lang w:val="en-US" w:eastAsia="zh-CN"/>
              </w:rPr>
              <w:t>储藏温度</w:t>
            </w:r>
            <w:r>
              <w:rPr>
                <w:rFonts w:hint="eastAsia" w:hAnsi="宋体" w:cs="宋体"/>
                <w:kern w:val="0"/>
                <w:sz w:val="18"/>
                <w:szCs w:val="18"/>
                <w:lang w:val="en-US" w:eastAsia="zh-CN"/>
              </w:rPr>
              <w:t>20</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以上应每7天检查一次。</w:t>
            </w:r>
          </w:p>
        </w:tc>
      </w:tr>
      <w:tr w14:paraId="43B368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04CE4BA6">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色泽</w:t>
            </w:r>
          </w:p>
        </w:tc>
        <w:tc>
          <w:tcPr>
            <w:tcW w:w="7174" w:type="dxa"/>
            <w:vAlign w:val="center"/>
          </w:tcPr>
          <w:p w14:paraId="5EC8CFFF">
            <w:pPr>
              <w:widowControl/>
              <w:spacing w:line="320" w:lineRule="exact"/>
              <w:jc w:val="both"/>
              <w:rPr>
                <w:rFonts w:hint="default" w:hAnsi="宋体" w:cs="宋体"/>
                <w:kern w:val="0"/>
                <w:sz w:val="18"/>
                <w:szCs w:val="18"/>
                <w:lang w:val="en-US" w:eastAsia="zh-CN"/>
              </w:rPr>
            </w:pPr>
            <w:r>
              <w:rPr>
                <w:rFonts w:hint="eastAsia" w:hAnsi="宋体" w:cs="宋体"/>
                <w:kern w:val="0"/>
                <w:sz w:val="18"/>
                <w:szCs w:val="18"/>
                <w:lang w:val="en-US" w:eastAsia="zh-CN"/>
              </w:rPr>
              <w:t>至少7天检查一次。</w:t>
            </w:r>
          </w:p>
        </w:tc>
      </w:tr>
      <w:tr w14:paraId="75E771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36721E12">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水分</w:t>
            </w:r>
          </w:p>
        </w:tc>
        <w:tc>
          <w:tcPr>
            <w:tcW w:w="7174" w:type="dxa"/>
            <w:vAlign w:val="center"/>
          </w:tcPr>
          <w:p w14:paraId="1299833B">
            <w:pPr>
              <w:widowControl/>
              <w:spacing w:line="320" w:lineRule="exact"/>
              <w:jc w:val="both"/>
              <w:rPr>
                <w:rFonts w:hint="default" w:hAnsi="宋体" w:cs="宋体"/>
                <w:kern w:val="0"/>
                <w:sz w:val="18"/>
                <w:szCs w:val="18"/>
                <w:lang w:val="en-US" w:eastAsia="zh-CN"/>
              </w:rPr>
            </w:pPr>
            <w:r>
              <w:rPr>
                <w:rFonts w:hint="eastAsia" w:hAnsi="宋体" w:cs="宋体"/>
                <w:kern w:val="0"/>
                <w:sz w:val="18"/>
                <w:szCs w:val="18"/>
                <w:lang w:val="en-US" w:eastAsia="zh-CN"/>
              </w:rPr>
              <w:t>至少7天检查一次，若发现异常应每天检查。</w:t>
            </w:r>
          </w:p>
        </w:tc>
      </w:tr>
      <w:tr w14:paraId="2D57F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0C87A886">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highlight w:val="none"/>
                <w:lang w:val="en-US" w:eastAsia="zh-CN"/>
              </w:rPr>
              <w:t>发芽率</w:t>
            </w:r>
          </w:p>
        </w:tc>
        <w:tc>
          <w:tcPr>
            <w:tcW w:w="7174" w:type="dxa"/>
            <w:vAlign w:val="center"/>
          </w:tcPr>
          <w:p w14:paraId="6282B9B5">
            <w:pPr>
              <w:widowControl/>
              <w:spacing w:line="320" w:lineRule="exact"/>
              <w:jc w:val="both"/>
              <w:rPr>
                <w:rFonts w:hint="default" w:hAnsi="宋体" w:cs="宋体"/>
                <w:kern w:val="0"/>
                <w:sz w:val="18"/>
                <w:szCs w:val="18"/>
                <w:lang w:val="en-US" w:eastAsia="zh-CN"/>
              </w:rPr>
            </w:pPr>
            <w:r>
              <w:rPr>
                <w:rFonts w:hint="eastAsia" w:hAnsi="宋体" w:cs="宋体"/>
                <w:kern w:val="0"/>
                <w:sz w:val="18"/>
                <w:szCs w:val="18"/>
                <w:lang w:val="en-US" w:eastAsia="zh-CN"/>
              </w:rPr>
              <w:t>至少一个月检查一次，如发现异常应及时处理；</w:t>
            </w:r>
          </w:p>
        </w:tc>
      </w:tr>
      <w:tr w14:paraId="065F2B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jc w:val="center"/>
        </w:trPr>
        <w:tc>
          <w:tcPr>
            <w:tcW w:w="2397" w:type="dxa"/>
            <w:vAlign w:val="center"/>
          </w:tcPr>
          <w:p w14:paraId="37AA652D">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过氧化值</w:t>
            </w:r>
          </w:p>
        </w:tc>
        <w:tc>
          <w:tcPr>
            <w:tcW w:w="7174" w:type="dxa"/>
            <w:vAlign w:val="center"/>
          </w:tcPr>
          <w:p w14:paraId="25455BB5">
            <w:pPr>
              <w:widowControl/>
              <w:spacing w:line="320" w:lineRule="exact"/>
              <w:jc w:val="both"/>
              <w:rPr>
                <w:rFonts w:hint="eastAsia" w:hAnsi="宋体" w:cs="宋体"/>
                <w:kern w:val="0"/>
                <w:sz w:val="18"/>
                <w:szCs w:val="18"/>
                <w:lang w:val="en-US" w:eastAsia="zh-CN"/>
              </w:rPr>
            </w:pPr>
            <w:r>
              <w:rPr>
                <w:rFonts w:hint="eastAsia"/>
                <w:sz w:val="18"/>
                <w:szCs w:val="18"/>
                <w:lang w:val="en-US" w:eastAsia="zh-CN"/>
              </w:rPr>
              <w:t>储藏温度</w:t>
            </w:r>
            <w:r>
              <w:rPr>
                <w:rFonts w:hint="eastAsia" w:hAnsi="宋体" w:cs="宋体"/>
                <w:kern w:val="0"/>
                <w:sz w:val="18"/>
                <w:szCs w:val="18"/>
                <w:lang w:val="en-US" w:eastAsia="zh-CN"/>
              </w:rPr>
              <w:t>25</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及以下时，至少每2个月检查一次；</w:t>
            </w:r>
            <w:r>
              <w:rPr>
                <w:rFonts w:hint="eastAsia"/>
                <w:sz w:val="18"/>
                <w:szCs w:val="18"/>
                <w:lang w:val="en-US" w:eastAsia="zh-CN"/>
              </w:rPr>
              <w:t>储藏温度</w:t>
            </w:r>
            <w:r>
              <w:rPr>
                <w:rFonts w:hint="eastAsia" w:hAnsi="宋体" w:cs="宋体"/>
                <w:kern w:val="0"/>
                <w:sz w:val="18"/>
                <w:szCs w:val="18"/>
                <w:lang w:val="en-US" w:eastAsia="zh-CN"/>
              </w:rPr>
              <w:t>超过25</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以上应每个月检查一次。</w:t>
            </w:r>
          </w:p>
        </w:tc>
      </w:tr>
      <w:tr w14:paraId="787AF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2030A099">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酸价</w:t>
            </w:r>
          </w:p>
        </w:tc>
        <w:tc>
          <w:tcPr>
            <w:tcW w:w="7174" w:type="dxa"/>
            <w:vAlign w:val="center"/>
          </w:tcPr>
          <w:p w14:paraId="2A6E26B2">
            <w:pPr>
              <w:widowControl/>
              <w:spacing w:line="320" w:lineRule="exact"/>
              <w:jc w:val="both"/>
              <w:rPr>
                <w:rFonts w:hint="eastAsia" w:hAnsi="宋体" w:cs="宋体"/>
                <w:kern w:val="0"/>
                <w:sz w:val="18"/>
                <w:szCs w:val="18"/>
                <w:lang w:val="en-US" w:eastAsia="zh-CN"/>
              </w:rPr>
            </w:pPr>
            <w:r>
              <w:rPr>
                <w:rFonts w:hint="eastAsia"/>
                <w:sz w:val="18"/>
                <w:szCs w:val="18"/>
                <w:lang w:val="en-US" w:eastAsia="zh-CN"/>
              </w:rPr>
              <w:t>储藏温度</w:t>
            </w:r>
            <w:r>
              <w:rPr>
                <w:rFonts w:hint="eastAsia" w:hAnsi="宋体" w:cs="宋体"/>
                <w:kern w:val="0"/>
                <w:sz w:val="18"/>
                <w:szCs w:val="18"/>
                <w:lang w:val="en-US" w:eastAsia="zh-CN"/>
              </w:rPr>
              <w:t>25</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及以下时，至少每2个月检查一次；</w:t>
            </w:r>
            <w:r>
              <w:rPr>
                <w:rFonts w:hint="eastAsia"/>
                <w:sz w:val="18"/>
                <w:szCs w:val="18"/>
                <w:lang w:val="en-US" w:eastAsia="zh-CN"/>
              </w:rPr>
              <w:t>储藏温度</w:t>
            </w:r>
            <w:r>
              <w:rPr>
                <w:rFonts w:hint="eastAsia" w:hAnsi="宋体" w:cs="宋体"/>
                <w:kern w:val="0"/>
                <w:sz w:val="18"/>
                <w:szCs w:val="18"/>
                <w:lang w:val="en-US" w:eastAsia="zh-CN"/>
              </w:rPr>
              <w:t>超过25</w:t>
            </w:r>
            <w:r>
              <w:rPr>
                <w:rFonts w:hint="eastAsia" w:ascii="宋体" w:hAnsi="宋体" w:eastAsia="宋体" w:cs="宋体"/>
                <w:kern w:val="0"/>
                <w:sz w:val="18"/>
                <w:szCs w:val="18"/>
                <w:lang w:val="en-US" w:eastAsia="zh-CN"/>
              </w:rPr>
              <w:t>℃</w:t>
            </w:r>
            <w:r>
              <w:rPr>
                <w:rFonts w:hint="eastAsia" w:hAnsi="宋体" w:cs="宋体"/>
                <w:kern w:val="0"/>
                <w:sz w:val="18"/>
                <w:szCs w:val="18"/>
                <w:lang w:val="en-US" w:eastAsia="zh-CN"/>
              </w:rPr>
              <w:t>以上应每个月检查一次。</w:t>
            </w:r>
          </w:p>
        </w:tc>
      </w:tr>
      <w:tr w14:paraId="78C773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97" w:type="dxa"/>
            <w:vAlign w:val="center"/>
          </w:tcPr>
          <w:p w14:paraId="14159DB8">
            <w:pPr>
              <w:widowControl/>
              <w:spacing w:line="320" w:lineRule="exact"/>
              <w:jc w:val="center"/>
              <w:rPr>
                <w:rFonts w:hint="default" w:hAnsi="宋体" w:cs="宋体"/>
                <w:kern w:val="0"/>
                <w:sz w:val="18"/>
                <w:szCs w:val="18"/>
                <w:lang w:val="en-US" w:eastAsia="zh-CN"/>
              </w:rPr>
            </w:pPr>
            <w:r>
              <w:rPr>
                <w:rFonts w:hint="eastAsia" w:hAnsi="宋体" w:cs="宋体"/>
                <w:kern w:val="0"/>
                <w:sz w:val="18"/>
                <w:szCs w:val="18"/>
                <w:lang w:val="en-US" w:eastAsia="zh-CN"/>
              </w:rPr>
              <w:t>黄曲霉毒素</w:t>
            </w:r>
          </w:p>
        </w:tc>
        <w:tc>
          <w:tcPr>
            <w:tcW w:w="7174" w:type="dxa"/>
            <w:vAlign w:val="center"/>
          </w:tcPr>
          <w:p w14:paraId="3A0BABBF">
            <w:pPr>
              <w:widowControl/>
              <w:spacing w:line="320" w:lineRule="exact"/>
              <w:jc w:val="both"/>
              <w:rPr>
                <w:rFonts w:hint="default" w:hAnsi="宋体" w:cs="宋体"/>
                <w:kern w:val="0"/>
                <w:sz w:val="18"/>
                <w:szCs w:val="18"/>
                <w:lang w:val="en-US" w:eastAsia="zh-CN"/>
              </w:rPr>
            </w:pPr>
            <w:r>
              <w:rPr>
                <w:rFonts w:hint="eastAsia" w:hAnsi="宋体" w:cs="宋体"/>
                <w:kern w:val="0"/>
                <w:sz w:val="18"/>
                <w:szCs w:val="18"/>
                <w:lang w:val="en-US" w:eastAsia="zh-CN"/>
              </w:rPr>
              <w:t>每半年检查一次，如发现异常应及时处理。</w:t>
            </w:r>
          </w:p>
        </w:tc>
      </w:tr>
    </w:tbl>
    <w:p w14:paraId="19068C0A">
      <w:pPr>
        <w:pStyle w:val="82"/>
        <w:bidi w:val="0"/>
        <w:spacing w:before="0" w:beforeLines="0" w:after="0" w:afterLines="0"/>
        <w:rPr>
          <w:rFonts w:hint="eastAsia"/>
          <w:lang w:val="en-US" w:eastAsia="zh-CN"/>
        </w:rPr>
      </w:pPr>
      <w:r>
        <w:rPr>
          <w:rFonts w:hint="eastAsia"/>
          <w:lang w:val="en-US" w:eastAsia="zh-CN"/>
        </w:rPr>
        <w:t>临沧坚果贮藏期间应定期检查，防止鼠害、虫害。有毒有害生物防治应符合QB/T 5486 的规定。</w:t>
      </w:r>
    </w:p>
    <w:p w14:paraId="3C406CA7">
      <w:pPr>
        <w:pStyle w:val="76"/>
        <w:bidi w:val="0"/>
        <w:rPr>
          <w:rFonts w:hint="eastAsia"/>
          <w:lang w:val="en-US" w:eastAsia="zh-CN"/>
        </w:rPr>
      </w:pPr>
      <w:r>
        <w:rPr>
          <w:rFonts w:hint="eastAsia"/>
          <w:lang w:val="en-US" w:eastAsia="zh-CN"/>
        </w:rPr>
        <w:t>出库</w:t>
      </w:r>
    </w:p>
    <w:p w14:paraId="03748B04">
      <w:pPr>
        <w:pStyle w:val="82"/>
        <w:bidi w:val="0"/>
        <w:spacing w:before="0" w:beforeLines="0" w:after="0" w:afterLines="0"/>
        <w:rPr>
          <w:rFonts w:hint="eastAsia"/>
          <w:lang w:val="en-US" w:eastAsia="zh-CN"/>
        </w:rPr>
      </w:pPr>
      <w:r>
        <w:rPr>
          <w:rFonts w:hint="eastAsia"/>
          <w:lang w:val="en-US" w:eastAsia="zh-CN"/>
        </w:rPr>
        <w:t>产品经检验合格后出库。</w:t>
      </w:r>
    </w:p>
    <w:p w14:paraId="7600EB7E">
      <w:pPr>
        <w:pStyle w:val="82"/>
        <w:bidi w:val="0"/>
        <w:spacing w:before="0" w:beforeLines="0" w:after="0" w:afterLines="0"/>
        <w:rPr>
          <w:rFonts w:hint="eastAsia"/>
          <w:lang w:val="en-US" w:eastAsia="zh-CN"/>
        </w:rPr>
      </w:pPr>
      <w:r>
        <w:rPr>
          <w:rFonts w:hint="eastAsia"/>
          <w:lang w:val="en-US" w:eastAsia="zh-CN"/>
        </w:rPr>
        <w:t>出库时遵循先进先出的原则进行。</w:t>
      </w:r>
    </w:p>
    <w:p w14:paraId="7DDAA260">
      <w:pPr>
        <w:pStyle w:val="82"/>
        <w:bidi w:val="0"/>
        <w:spacing w:before="0" w:beforeLines="0" w:after="0" w:afterLines="0"/>
        <w:rPr>
          <w:rFonts w:hint="eastAsia"/>
          <w:lang w:val="en-US" w:eastAsia="zh-CN"/>
        </w:rPr>
      </w:pPr>
      <w:r>
        <w:rPr>
          <w:rFonts w:hint="eastAsia"/>
          <w:lang w:val="en-US" w:eastAsia="zh-CN"/>
        </w:rPr>
        <w:t>出库当日的出库手续应在当日办理完毕，出库手续应随货同行。</w:t>
      </w:r>
    </w:p>
    <w:p w14:paraId="54222CEC">
      <w:pPr>
        <w:pStyle w:val="82"/>
        <w:bidi w:val="0"/>
        <w:spacing w:before="0" w:beforeLines="0" w:after="0" w:afterLines="0"/>
        <w:rPr>
          <w:rFonts w:hint="eastAsia"/>
          <w:highlight w:val="none"/>
          <w:lang w:val="en-US" w:eastAsia="zh-CN"/>
        </w:rPr>
      </w:pPr>
      <w:r>
        <w:rPr>
          <w:rFonts w:hint="eastAsia"/>
          <w:highlight w:val="none"/>
          <w:lang w:val="en-US" w:eastAsia="zh-CN"/>
        </w:rPr>
        <w:t>应有出库记录。库房管理员应对品名、规格、等级、储存条件、出库批次、出库数量、出库时间等信息进行详细记录，填写登记表。</w:t>
      </w:r>
    </w:p>
    <w:p w14:paraId="03BA45A3">
      <w:pPr>
        <w:pStyle w:val="75"/>
        <w:bidi w:val="0"/>
        <w:rPr>
          <w:rFonts w:hint="eastAsia"/>
        </w:rPr>
      </w:pPr>
      <w:r>
        <w:rPr>
          <w:rFonts w:hint="eastAsia"/>
          <w:lang w:val="en-US" w:eastAsia="zh-CN"/>
        </w:rPr>
        <w:t>运输</w:t>
      </w:r>
      <w:bookmarkStart w:id="36" w:name="OLE_LINK48"/>
      <w:bookmarkStart w:id="37" w:name="OLE_LINK26"/>
    </w:p>
    <w:p w14:paraId="085E3CE7">
      <w:pPr>
        <w:pStyle w:val="82"/>
        <w:bidi w:val="0"/>
        <w:spacing w:before="0" w:beforeLines="0" w:after="0" w:afterLines="0"/>
        <w:rPr>
          <w:rFonts w:hint="eastAsia"/>
        </w:rPr>
      </w:pPr>
      <w:r>
        <w:rPr>
          <w:rFonts w:hint="eastAsia"/>
          <w:lang w:val="en-US" w:eastAsia="zh-CN"/>
        </w:rPr>
        <w:t>产品</w:t>
      </w:r>
      <w:r>
        <w:rPr>
          <w:rFonts w:hint="eastAsia"/>
        </w:rPr>
        <w:t>装运前应进行包装质量检</w:t>
      </w:r>
      <w:r>
        <w:rPr>
          <w:rFonts w:hint="eastAsia"/>
          <w:lang w:eastAsia="zh-CN"/>
        </w:rPr>
        <w:t>查</w:t>
      </w:r>
      <w:r>
        <w:rPr>
          <w:rFonts w:hint="eastAsia"/>
        </w:rPr>
        <w:t>，确认包装完好、无破损，并在确认货物、标签、单据三者相符的情况下才能进行装运操作。</w:t>
      </w:r>
    </w:p>
    <w:p w14:paraId="147C823B">
      <w:pPr>
        <w:pStyle w:val="82"/>
        <w:bidi w:val="0"/>
        <w:spacing w:before="0" w:beforeLines="0" w:after="0" w:afterLines="0"/>
        <w:rPr>
          <w:rFonts w:hint="eastAsia"/>
        </w:rPr>
      </w:pPr>
      <w:r>
        <w:rPr>
          <w:rFonts w:hint="eastAsia"/>
        </w:rPr>
        <w:t>运输工具应干燥、清洁、无异味、无污染</w:t>
      </w:r>
      <w:r>
        <w:rPr>
          <w:rFonts w:hint="eastAsia"/>
          <w:lang w:eastAsia="zh-CN"/>
        </w:rPr>
        <w:t>，</w:t>
      </w:r>
      <w:r>
        <w:rPr>
          <w:rFonts w:hint="eastAsia"/>
          <w:lang w:val="en-US" w:eastAsia="zh-CN"/>
        </w:rPr>
        <w:t>符合</w:t>
      </w:r>
      <w:r>
        <w:rPr>
          <w:rFonts w:hint="eastAsia"/>
        </w:rPr>
        <w:t>NY/T</w:t>
      </w:r>
      <w:r>
        <w:rPr>
          <w:rFonts w:hint="eastAsia"/>
          <w:lang w:val="en-US" w:eastAsia="zh-CN"/>
        </w:rPr>
        <w:t xml:space="preserve"> </w:t>
      </w:r>
      <w:r>
        <w:rPr>
          <w:rFonts w:hint="eastAsia"/>
        </w:rPr>
        <w:t>1056</w:t>
      </w:r>
      <w:r>
        <w:rPr>
          <w:rFonts w:hint="eastAsia"/>
          <w:lang w:val="en-US" w:eastAsia="zh-CN"/>
        </w:rPr>
        <w:t>的要求。</w:t>
      </w:r>
    </w:p>
    <w:p w14:paraId="396596D0">
      <w:pPr>
        <w:pStyle w:val="82"/>
        <w:bidi w:val="0"/>
        <w:spacing w:before="0" w:beforeLines="0" w:after="0" w:afterLines="0"/>
      </w:pPr>
      <w:r>
        <w:rPr>
          <w:rFonts w:hint="eastAsia"/>
        </w:rPr>
        <w:t>运输</w:t>
      </w:r>
      <w:r>
        <w:rPr>
          <w:rFonts w:hint="eastAsia"/>
          <w:lang w:val="en-US" w:eastAsia="zh-CN"/>
        </w:rPr>
        <w:t>产品</w:t>
      </w:r>
      <w:r>
        <w:rPr>
          <w:rFonts w:hint="eastAsia"/>
        </w:rPr>
        <w:t>的车厢</w:t>
      </w:r>
      <w:r>
        <w:rPr>
          <w:rFonts w:hint="eastAsia"/>
          <w:lang w:eastAsia="zh-CN"/>
        </w:rPr>
        <w:t>（</w:t>
      </w:r>
      <w:r>
        <w:rPr>
          <w:rFonts w:hint="eastAsia"/>
        </w:rPr>
        <w:t>舱</w:t>
      </w:r>
      <w:r>
        <w:rPr>
          <w:rFonts w:hint="eastAsia"/>
          <w:lang w:eastAsia="zh-CN"/>
        </w:rPr>
        <w:t>）</w:t>
      </w:r>
      <w:r>
        <w:rPr>
          <w:rFonts w:hint="eastAsia"/>
        </w:rPr>
        <w:t>应上盖下垫，并有防尘、防蝇、防晒、防雨等设施，避免日晒、雨淋及污染</w:t>
      </w:r>
      <w:r>
        <w:rPr>
          <w:rFonts w:hint="eastAsia"/>
          <w:lang w:eastAsia="zh-CN"/>
        </w:rPr>
        <w:t>，</w:t>
      </w:r>
      <w:r>
        <w:rPr>
          <w:rFonts w:hint="eastAsia"/>
        </w:rPr>
        <w:t>温湿度应符合产品的</w:t>
      </w:r>
      <w:r>
        <w:rPr>
          <w:rFonts w:hint="eastAsia"/>
          <w:lang w:val="en-US" w:eastAsia="zh-CN"/>
        </w:rPr>
        <w:t>储存</w:t>
      </w:r>
      <w:r>
        <w:rPr>
          <w:rFonts w:hint="eastAsia"/>
        </w:rPr>
        <w:t>要求</w:t>
      </w:r>
      <w:r>
        <w:rPr>
          <w:rFonts w:hint="eastAsia"/>
          <w:lang w:eastAsia="zh-CN"/>
        </w:rPr>
        <w:t>，</w:t>
      </w:r>
      <w:r>
        <w:rPr>
          <w:rFonts w:hint="eastAsia"/>
          <w:lang w:val="en-US" w:eastAsia="zh-CN"/>
        </w:rPr>
        <w:t>不应与有毒、有害、有异味或其他影响临沧坚果质量的物品混装、混运</w:t>
      </w:r>
      <w:r>
        <w:rPr>
          <w:rFonts w:hint="eastAsia"/>
        </w:rPr>
        <w:t>。长途运输</w:t>
      </w:r>
      <w:r>
        <w:rPr>
          <w:rFonts w:hint="eastAsia"/>
          <w:lang w:val="en-US" w:eastAsia="zh-CN"/>
        </w:rPr>
        <w:t>时</w:t>
      </w:r>
      <w:r>
        <w:rPr>
          <w:rFonts w:hint="eastAsia"/>
        </w:rPr>
        <w:t>应</w:t>
      </w:r>
      <w:r>
        <w:rPr>
          <w:rFonts w:hint="eastAsia"/>
          <w:lang w:val="en-US" w:eastAsia="zh-CN"/>
        </w:rPr>
        <w:t>有</w:t>
      </w:r>
      <w:r>
        <w:rPr>
          <w:rFonts w:hint="eastAsia"/>
        </w:rPr>
        <w:t>防止</w:t>
      </w:r>
      <w:r>
        <w:rPr>
          <w:rFonts w:hint="eastAsia"/>
          <w:lang w:val="en-US" w:eastAsia="zh-CN"/>
        </w:rPr>
        <w:t>产品变质的措施</w:t>
      </w:r>
      <w:r>
        <w:rPr>
          <w:rFonts w:hint="eastAsia"/>
          <w:lang w:eastAsia="zh-CN"/>
        </w:rPr>
        <w:t>；</w:t>
      </w:r>
      <w:r>
        <w:rPr>
          <w:rFonts w:hint="eastAsia"/>
        </w:rPr>
        <w:t>高温季节宜采用冷链运输</w:t>
      </w:r>
      <w:r>
        <w:rPr>
          <w:rFonts w:hint="eastAsia"/>
          <w:lang w:eastAsia="zh-CN"/>
        </w:rPr>
        <w:t>，</w:t>
      </w:r>
      <w:r>
        <w:rPr>
          <w:rFonts w:hint="eastAsia"/>
          <w:lang w:val="en-US" w:eastAsia="zh-CN"/>
        </w:rPr>
        <w:t>且</w:t>
      </w:r>
      <w:r>
        <w:rPr>
          <w:rFonts w:hint="eastAsia"/>
        </w:rPr>
        <w:t>符合 GB 31605 的要求。</w:t>
      </w:r>
    </w:p>
    <w:p w14:paraId="3434AD34">
      <w:pPr>
        <w:pStyle w:val="82"/>
        <w:numPr>
          <w:ilvl w:val="-1"/>
          <w:numId w:val="0"/>
        </w:numPr>
        <w:bidi w:val="0"/>
        <w:spacing w:before="0" w:beforeLines="0" w:after="0" w:afterLines="0"/>
      </w:pPr>
      <w:r>
        <w:rPr>
          <w:rFonts w:hint="eastAsia"/>
          <w:lang w:val="en-US" w:eastAsia="zh-CN"/>
        </w:rPr>
        <w:t xml:space="preserve">8.1.4 </w:t>
      </w:r>
      <w:r>
        <w:rPr>
          <w:rFonts w:hint="eastAsia"/>
        </w:rPr>
        <w:t>运输过程中应确保货物不受挤压和剧烈震动。装卸时应轻装、轻卸，宜采用机械化装卸措施。</w:t>
      </w:r>
    </w:p>
    <w:bookmarkEnd w:id="36"/>
    <w:bookmarkEnd w:id="37"/>
    <w:p w14:paraId="43B4EFD4">
      <w:pPr>
        <w:pStyle w:val="75"/>
        <w:bidi w:val="0"/>
      </w:pPr>
      <w:r>
        <w:rPr>
          <w:rFonts w:hint="eastAsia"/>
        </w:rPr>
        <w:t>电子商务</w:t>
      </w:r>
      <w:r>
        <w:rPr>
          <w:rFonts w:hint="eastAsia"/>
          <w:lang w:val="en-US" w:eastAsia="zh-CN"/>
        </w:rPr>
        <w:t>产品</w:t>
      </w:r>
    </w:p>
    <w:p w14:paraId="4A16F9B0">
      <w:pPr>
        <w:pStyle w:val="28"/>
        <w:bidi w:val="0"/>
        <w:rPr>
          <w:rFonts w:hint="eastAsia"/>
        </w:rPr>
      </w:pPr>
      <w:r>
        <w:rPr>
          <w:rFonts w:hint="eastAsia"/>
          <w:lang w:val="en-US" w:eastAsia="zh-CN"/>
        </w:rPr>
        <w:t>进行电子交易的临沧坚果包装、贮存和运输</w:t>
      </w:r>
      <w:r>
        <w:rPr>
          <w:rFonts w:hint="eastAsia"/>
        </w:rPr>
        <w:t>应符合 SB/T 11132的相关规定。</w:t>
      </w:r>
    </w:p>
    <w:p w14:paraId="51201C83">
      <w:pPr>
        <w:pStyle w:val="75"/>
        <w:bidi w:val="0"/>
        <w:rPr>
          <w:rFonts w:hint="eastAsia"/>
          <w:lang w:val="en-US" w:eastAsia="zh-CN"/>
        </w:rPr>
      </w:pPr>
      <w:r>
        <w:rPr>
          <w:rFonts w:hint="eastAsia"/>
          <w:lang w:val="en-US" w:eastAsia="zh-CN"/>
        </w:rPr>
        <w:t>记录</w:t>
      </w:r>
    </w:p>
    <w:p w14:paraId="5B6FE98F">
      <w:pPr>
        <w:pStyle w:val="81"/>
        <w:bidi w:val="0"/>
        <w:spacing w:before="0" w:beforeLines="0" w:after="0" w:afterLines="0"/>
        <w:rPr>
          <w:rFonts w:hint="eastAsia"/>
          <w:lang w:val="en-US" w:eastAsia="zh-CN"/>
        </w:rPr>
      </w:pPr>
      <w:r>
        <w:rPr>
          <w:rFonts w:hint="eastAsia"/>
          <w:lang w:val="en-US" w:eastAsia="zh-CN"/>
        </w:rPr>
        <w:t>记录信息应全面覆盖产品检验、入库、出库和运输等的所有环节。成品检验记录应涵盖检验原始记录、检验报告、检验留存样品记录等；入库、出库记录应详细记载产品名称、产地、产品规格、等级、数量、入/出库时间等信息；运输记录应记载运输时间、运输车辆、运输人员、车辆清洁次数以及产品批次、数量等记录。</w:t>
      </w:r>
    </w:p>
    <w:p w14:paraId="3AD9212C">
      <w:pPr>
        <w:pStyle w:val="81"/>
        <w:bidi w:val="0"/>
        <w:spacing w:before="0" w:beforeLines="0" w:after="0" w:afterLines="0"/>
        <w:rPr>
          <w:rFonts w:hint="eastAsia"/>
          <w:lang w:val="en-US" w:eastAsia="zh-CN"/>
        </w:rPr>
      </w:pPr>
      <w:r>
        <w:rPr>
          <w:rFonts w:hint="eastAsia"/>
          <w:lang w:val="en-US" w:eastAsia="zh-CN"/>
        </w:rPr>
        <w:t>所有记录应保持完整、真实、清晰，并易于识别和检索，以确保可追溯性。</w:t>
      </w:r>
    </w:p>
    <w:p w14:paraId="3B68EA0C">
      <w:pPr>
        <w:pStyle w:val="81"/>
        <w:bidi w:val="0"/>
        <w:spacing w:before="0" w:beforeLines="0" w:after="0" w:afterLines="0"/>
        <w:rPr>
          <w:rFonts w:hint="eastAsia"/>
          <w:lang w:val="en-US" w:eastAsia="zh-CN"/>
        </w:rPr>
      </w:pPr>
      <w:r>
        <w:rPr>
          <w:rFonts w:hint="eastAsia"/>
          <w:lang w:val="en-US" w:eastAsia="zh-CN"/>
        </w:rPr>
        <w:t>记录和凭证的保存期限不得少于食品保质期满后六个月。</w:t>
      </w:r>
    </w:p>
    <w:p w14:paraId="0C99BB38">
      <w:pPr>
        <w:pStyle w:val="28"/>
        <w:bidi w:val="0"/>
        <w:ind w:left="0" w:leftChars="0" w:firstLine="0" w:firstLineChars="0"/>
        <w:rPr>
          <w:rFonts w:hint="default" w:eastAsia="宋体"/>
          <w:lang w:val="en-US" w:eastAsia="zh-CN"/>
        </w:rPr>
      </w:pPr>
    </w:p>
    <w:p w14:paraId="14DE1FB6">
      <w:pPr>
        <w:pStyle w:val="115"/>
        <w:bidi w:val="0"/>
        <w:rPr>
          <w:rFonts w:hint="eastAsia"/>
          <w:lang w:val="en-US" w:eastAsia="zh-CN"/>
        </w:rPr>
      </w:pPr>
      <w:bookmarkStart w:id="38" w:name="EndLine"/>
      <w:r>
        <w:rPr>
          <w:rFonts w:hint="eastAsia"/>
          <w:lang w:val="en-US" w:eastAsia="zh-CN"/>
        </w:rPr>
        <w:drawing>
          <wp:inline distT="0" distB="0" distL="114300" distR="114300">
            <wp:extent cx="1485900" cy="317500"/>
            <wp:effectExtent l="0" t="0" r="7620" b="254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0"/>
                    <a:stretch>
                      <a:fillRect/>
                    </a:stretch>
                  </pic:blipFill>
                  <pic:spPr>
                    <a:xfrm>
                      <a:off x="0" y="0"/>
                      <a:ext cx="1485900" cy="317500"/>
                    </a:xfrm>
                    <a:prstGeom prst="rect">
                      <a:avLst/>
                    </a:prstGeom>
                  </pic:spPr>
                </pic:pic>
              </a:graphicData>
            </a:graphic>
          </wp:inline>
        </w:drawing>
      </w:r>
      <w:bookmarkEnd w:id="38"/>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6B1B">
    <w:pPr>
      <w:pStyle w:val="14"/>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24"/>
      </w:rPr>
      <w:fldChar w:fldCharType="begin"/>
    </w:r>
    <w:r>
      <w:rPr>
        <w:rStyle w:val="24"/>
      </w:rPr>
      <w:instrText xml:space="preserve"> PAGE </w:instrText>
    </w:r>
    <w:r>
      <w:rPr>
        <w:rStyle w:val="24"/>
      </w:rPr>
      <w:fldChar w:fldCharType="separate"/>
    </w:r>
    <w:r>
      <w:rPr>
        <w:rStyle w:val="24"/>
      </w:rPr>
      <w:t>II</w:t>
    </w:r>
    <w:r>
      <w:rPr>
        <w:rStyle w:val="24"/>
      </w:rPr>
      <w:fldChar w:fldCharType="end"/>
    </w:r>
  </w:p>
  <w:p w14:paraId="799FA75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E297">
    <w:pPr>
      <w:pStyle w:val="34"/>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r>
      <w:rPr>
        <w:rStyle w:val="24"/>
        <w:rFonts w:hint="eastAsia"/>
        <w:lang w:eastAsia="zh-CN"/>
      </w:rPr>
      <w:fldChar w:fldCharType="begin"/>
    </w:r>
    <w:r>
      <w:rPr>
        <w:rStyle w:val="24"/>
        <w:rFonts w:hint="eastAsia"/>
        <w:lang w:eastAsia="zh-CN"/>
      </w:rPr>
      <w:instrText xml:space="preserve"> PAGE </w:instrText>
    </w:r>
    <w:r>
      <w:rPr>
        <w:rStyle w:val="24"/>
        <w:rFonts w:hint="eastAsia"/>
        <w:lang w:eastAsia="zh-CN"/>
      </w:rPr>
      <w:fldChar w:fldCharType="separate"/>
    </w:r>
    <w:r>
      <w:rPr>
        <w:rStyle w:val="24"/>
        <w:rFonts w:hint="eastAsia"/>
        <w:lang w:eastAsia="zh-CN"/>
      </w:rPr>
      <w:t>I</w:t>
    </w:r>
    <w:r>
      <w:rPr>
        <w:rStyle w:val="24"/>
        <w:rFonts w:hint="eastAsia"/>
        <w:lang w:eastAsia="zh-CN"/>
      </w:rPr>
      <w:fldChar w:fldCharType="end"/>
    </w:r>
  </w:p>
  <w:p w14:paraId="7F46A372">
    <w:pPr>
      <w:pStyle w:val="34"/>
      <w:bidi w:val="0"/>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FCB5">
    <w:pPr>
      <w:pStyle w:val="14"/>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r>
      <w:rPr>
        <w:rStyle w:val="24"/>
      </w:rPr>
      <w:fldChar w:fldCharType="begin"/>
    </w:r>
    <w:r>
      <w:rPr>
        <w:rStyle w:val="24"/>
      </w:rPr>
      <w:instrText xml:space="preserve"> PAGE </w:instrText>
    </w:r>
    <w:r>
      <w:rPr>
        <w:rStyle w:val="24"/>
      </w:rPr>
      <w:fldChar w:fldCharType="separate"/>
    </w:r>
    <w:r>
      <w:rPr>
        <w:rStyle w:val="24"/>
      </w:rPr>
      <w:t>II</w:t>
    </w:r>
    <w:r>
      <w:rPr>
        <w:rStyle w:val="24"/>
      </w:rPr>
      <w:fldChar w:fldCharType="end"/>
    </w:r>
  </w:p>
  <w:p w14:paraId="1E51EED5">
    <w:pPr>
      <w:pStyle w:val="14"/>
      <w:ind w:left="2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4E2AC">
    <w:pPr>
      <w:pStyle w:val="36"/>
      <w:rPr>
        <w:rFonts w:hint="eastAsia"/>
        <w:lang w:eastAsia="zh-CN"/>
      </w:rPr>
    </w:pPr>
    <w:r>
      <w:rPr>
        <w:rFonts w:hint="eastAsia"/>
        <w:lang w:eastAsia="zh-CN"/>
      </w:rPr>
      <w:t>DB5309/T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B570">
    <w:pPr>
      <w:pStyle w:val="35"/>
      <w:bidi w:val="0"/>
      <w:rPr>
        <w:rFonts w:hint="eastAsia" w:eastAsia="黑体"/>
        <w:lang w:eastAsia="zh-CN"/>
      </w:rPr>
    </w:pPr>
    <w:r>
      <w:rPr>
        <w:rFonts w:hint="eastAsia"/>
        <w:lang w:eastAsia="zh-CN"/>
      </w:rPr>
      <w:t>DB</w:t>
    </w:r>
    <w:r>
      <w:rPr>
        <w:rFonts w:hint="eastAsia"/>
        <w:lang w:val="en-US" w:eastAsia="zh-CN"/>
      </w:rPr>
      <w:t>5309</w:t>
    </w:r>
    <w:r>
      <w:rPr>
        <w:rFonts w:hint="eastAsia"/>
        <w:lang w:eastAsia="zh-CN"/>
      </w:rPr>
      <w:t>/T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84CC6"/>
    <w:multiLevelType w:val="multilevel"/>
    <w:tmpl w:val="85684CC6"/>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EA59571"/>
    <w:multiLevelType w:val="multilevel"/>
    <w:tmpl w:val="8EA59571"/>
    <w:lvl w:ilvl="0" w:tentative="0">
      <w:start w:val="1"/>
      <w:numFmt w:val="upperLetter"/>
      <w:pStyle w:val="102"/>
      <w:lvlText w:val="%1"/>
      <w:lvlJc w:val="left"/>
      <w:pPr>
        <w:tabs>
          <w:tab w:val="left" w:pos="0"/>
        </w:tabs>
        <w:ind w:left="0" w:leftChars="0" w:firstLine="0" w:firstLineChars="0"/>
      </w:pPr>
      <w:rPr>
        <w:rFonts w:hint="default"/>
      </w:rPr>
    </w:lvl>
    <w:lvl w:ilvl="1" w:tentative="0">
      <w:start w:val="1"/>
      <w:numFmt w:val="decimal"/>
      <w:pStyle w:val="103"/>
      <w:suff w:val="nothing"/>
      <w:lvlText w:val="图%1.%2　"/>
      <w:lvlJc w:val="left"/>
      <w:pPr>
        <w:ind w:left="0" w:leftChars="0" w:firstLine="0"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92FFAE6"/>
    <w:multiLevelType w:val="multilevel"/>
    <w:tmpl w:val="992FFAE6"/>
    <w:lvl w:ilvl="0" w:tentative="0">
      <w:start w:val="1"/>
      <w:numFmt w:val="none"/>
      <w:pStyle w:val="58"/>
      <w:suff w:val="nothing"/>
      <w:lvlText w:val="%1"/>
      <w:lvlJc w:val="left"/>
      <w:pPr>
        <w:ind w:left="425" w:leftChars="0" w:hanging="425" w:firstLineChars="0"/>
      </w:pPr>
      <w:rPr>
        <w:rFonts w:hint="default"/>
      </w:rPr>
    </w:lvl>
    <w:lvl w:ilvl="1" w:tentative="0">
      <w:start w:val="1"/>
      <w:numFmt w:val="decimal"/>
      <w:pStyle w:val="65"/>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6"/>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7"/>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8"/>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9"/>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9F65B117"/>
    <w:multiLevelType w:val="multilevel"/>
    <w:tmpl w:val="9F65B117"/>
    <w:lvl w:ilvl="0" w:tentative="0">
      <w:start w:val="1"/>
      <w:numFmt w:val="decimal"/>
      <w:pStyle w:val="117"/>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A38BF684"/>
    <w:multiLevelType w:val="multilevel"/>
    <w:tmpl w:val="A38BF684"/>
    <w:lvl w:ilvl="0" w:tentative="0">
      <w:start w:val="1"/>
      <w:numFmt w:val="none"/>
      <w:pStyle w:val="109"/>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A6D9ADF0"/>
    <w:multiLevelType w:val="multilevel"/>
    <w:tmpl w:val="A6D9ADF0"/>
    <w:lvl w:ilvl="0" w:tentative="0">
      <w:start w:val="1"/>
      <w:numFmt w:val="none"/>
      <w:pStyle w:val="107"/>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B34EE320"/>
    <w:multiLevelType w:val="multilevel"/>
    <w:tmpl w:val="B34EE320"/>
    <w:lvl w:ilvl="0" w:tentative="0">
      <w:start w:val="1"/>
      <w:numFmt w:val="decimal"/>
      <w:pStyle w:val="110"/>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A7AB72C"/>
    <w:multiLevelType w:val="multilevel"/>
    <w:tmpl w:val="EA7AB72C"/>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F0DC176E"/>
    <w:multiLevelType w:val="multilevel"/>
    <w:tmpl w:val="F0DC176E"/>
    <w:lvl w:ilvl="0" w:tentative="0">
      <w:start w:val="1"/>
      <w:numFmt w:val="decimal"/>
      <w:pStyle w:val="116"/>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129"/>
      <w:suff w:val="nothing"/>
      <w:lvlText w:val="表%2　"/>
      <w:lvlJc w:val="left"/>
      <w:pPr>
        <w:ind w:left="0" w:firstLine="0"/>
      </w:pPr>
      <w:rPr>
        <w:rFonts w:hint="default" w:ascii="黑体" w:hAnsi="Times New Roman" w:eastAsia="黑体"/>
        <w:b w:val="0"/>
        <w:i w:val="0"/>
        <w:caps w:val="0"/>
        <w:strike w:val="0"/>
        <w:dstrike w:val="0"/>
        <w:snapToGrid w:val="0"/>
        <w:vanish w:val="0"/>
        <w:kern w:val="0"/>
        <w:sz w:val="18"/>
        <w:szCs w:val="18"/>
        <w:u w:val="none"/>
        <w:vertAlign w:val="baseline"/>
        <w14:cntxtalts w14:val="0"/>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0">
    <w:nsid w:val="1FC91163"/>
    <w:multiLevelType w:val="multilevel"/>
    <w:tmpl w:val="1FC91163"/>
    <w:lvl w:ilvl="0" w:tentative="0">
      <w:start w:val="1"/>
      <w:numFmt w:val="decimal"/>
      <w:pStyle w:val="1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6D0BA8D"/>
    <w:multiLevelType w:val="multilevel"/>
    <w:tmpl w:val="26D0BA8D"/>
    <w:lvl w:ilvl="0" w:tentative="0">
      <w:start w:val="1"/>
      <w:numFmt w:val="decimal"/>
      <w:pStyle w:val="75"/>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6"/>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7"/>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8"/>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9"/>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80"/>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32F03FD6"/>
    <w:multiLevelType w:val="multilevel"/>
    <w:tmpl w:val="32F03FD6"/>
    <w:lvl w:ilvl="0" w:tentative="0">
      <w:start w:val="1"/>
      <w:numFmt w:val="upperLetter"/>
      <w:pStyle w:val="104"/>
      <w:lvlText w:val="%1"/>
      <w:lvlJc w:val="left"/>
      <w:pPr>
        <w:tabs>
          <w:tab w:val="left" w:pos="0"/>
        </w:tabs>
        <w:ind w:left="0" w:leftChars="0" w:firstLine="0" w:firstLineChars="0"/>
      </w:pPr>
      <w:rPr>
        <w:rFonts w:hint="default"/>
      </w:rPr>
    </w:lvl>
    <w:lvl w:ilvl="1" w:tentative="0">
      <w:start w:val="1"/>
      <w:numFmt w:val="decimal"/>
      <w:pStyle w:val="105"/>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46A8C2EA"/>
    <w:multiLevelType w:val="multilevel"/>
    <w:tmpl w:val="46A8C2EA"/>
    <w:lvl w:ilvl="0" w:tentative="0">
      <w:start w:val="1"/>
      <w:numFmt w:val="decimal"/>
      <w:pStyle w:val="108"/>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4D16679E"/>
    <w:multiLevelType w:val="multilevel"/>
    <w:tmpl w:val="4D16679E"/>
    <w:lvl w:ilvl="0" w:tentative="0">
      <w:start w:val="1"/>
      <w:numFmt w:val="decimal"/>
      <w:pStyle w:val="122"/>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5">
    <w:nsid w:val="4DB87DD8"/>
    <w:multiLevelType w:val="multilevel"/>
    <w:tmpl w:val="4DB87DD8"/>
    <w:lvl w:ilvl="0" w:tentative="0">
      <w:start w:val="1"/>
      <w:numFmt w:val="upperLetter"/>
      <w:pStyle w:val="91"/>
      <w:suff w:val="nothing"/>
      <w:lvlText w:val="附录%1"/>
      <w:lvlJc w:val="left"/>
      <w:pPr>
        <w:ind w:left="0" w:leftChars="0" w:firstLine="0" w:firstLineChars="0"/>
      </w:pPr>
      <w:rPr>
        <w:rFonts w:hint="default"/>
        <w:spacing w:val="102"/>
      </w:rPr>
    </w:lvl>
    <w:lvl w:ilvl="1" w:tentative="0">
      <w:start w:val="1"/>
      <w:numFmt w:val="decimal"/>
      <w:pStyle w:val="9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6"/>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505C411D"/>
    <w:multiLevelType w:val="multilevel"/>
    <w:tmpl w:val="505C411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51BB5915"/>
    <w:multiLevelType w:val="multilevel"/>
    <w:tmpl w:val="51BB5915"/>
    <w:lvl w:ilvl="0" w:tentative="0">
      <w:start w:val="1"/>
      <w:numFmt w:val="decimal"/>
      <w:pStyle w:val="18"/>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D13320F"/>
    <w:multiLevelType w:val="multilevel"/>
    <w:tmpl w:val="6D13320F"/>
    <w:lvl w:ilvl="0" w:tentative="0">
      <w:start w:val="1"/>
      <w:numFmt w:val="lowerLetter"/>
      <w:pStyle w:val="111"/>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6"/>
  </w:num>
  <w:num w:numId="2">
    <w:abstractNumId w:val="1"/>
  </w:num>
  <w:num w:numId="3">
    <w:abstractNumId w:val="17"/>
  </w:num>
  <w:num w:numId="4">
    <w:abstractNumId w:val="2"/>
  </w:num>
  <w:num w:numId="5">
    <w:abstractNumId w:val="7"/>
  </w:num>
  <w:num w:numId="6">
    <w:abstractNumId w:val="0"/>
  </w:num>
  <w:num w:numId="7">
    <w:abstractNumId w:val="11"/>
  </w:num>
  <w:num w:numId="8">
    <w:abstractNumId w:val="15"/>
  </w:num>
  <w:num w:numId="9">
    <w:abstractNumId w:val="12"/>
  </w:num>
  <w:num w:numId="10">
    <w:abstractNumId w:val="5"/>
  </w:num>
  <w:num w:numId="11">
    <w:abstractNumId w:val="13"/>
  </w:num>
  <w:num w:numId="12">
    <w:abstractNumId w:val="4"/>
  </w:num>
  <w:num w:numId="13">
    <w:abstractNumId w:val="6"/>
  </w:num>
  <w:num w:numId="14">
    <w:abstractNumId w:val="18"/>
  </w:num>
  <w:num w:numId="15">
    <w:abstractNumId w:val="8"/>
  </w:num>
  <w:num w:numId="16">
    <w:abstractNumId w:val="3"/>
  </w:num>
  <w:num w:numId="17">
    <w:abstractNumId w:val="1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dit="form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3BC1"/>
    <w:rsid w:val="003619D7"/>
    <w:rsid w:val="005621E4"/>
    <w:rsid w:val="00B31EC9"/>
    <w:rsid w:val="05FA2A1A"/>
    <w:rsid w:val="06823015"/>
    <w:rsid w:val="07067BB6"/>
    <w:rsid w:val="083D7B64"/>
    <w:rsid w:val="08AA4030"/>
    <w:rsid w:val="099C6BF2"/>
    <w:rsid w:val="0A381B14"/>
    <w:rsid w:val="0A9C6F2B"/>
    <w:rsid w:val="0AE70CA1"/>
    <w:rsid w:val="0B4C04E4"/>
    <w:rsid w:val="0C1A1BEA"/>
    <w:rsid w:val="0C6F4C43"/>
    <w:rsid w:val="0CA03409"/>
    <w:rsid w:val="0CC92485"/>
    <w:rsid w:val="0D0376A2"/>
    <w:rsid w:val="0D5159EF"/>
    <w:rsid w:val="0D760F86"/>
    <w:rsid w:val="0D992A45"/>
    <w:rsid w:val="0EBF0935"/>
    <w:rsid w:val="0F220EF1"/>
    <w:rsid w:val="0FDF7DB2"/>
    <w:rsid w:val="0FEE6EFA"/>
    <w:rsid w:val="10021E26"/>
    <w:rsid w:val="120451B0"/>
    <w:rsid w:val="12293366"/>
    <w:rsid w:val="123C60EB"/>
    <w:rsid w:val="13D02927"/>
    <w:rsid w:val="13D07E31"/>
    <w:rsid w:val="14CE603E"/>
    <w:rsid w:val="15D26969"/>
    <w:rsid w:val="180E4718"/>
    <w:rsid w:val="18F60DE4"/>
    <w:rsid w:val="1970152A"/>
    <w:rsid w:val="19947518"/>
    <w:rsid w:val="1A6F15E5"/>
    <w:rsid w:val="1A834197"/>
    <w:rsid w:val="1CF9603B"/>
    <w:rsid w:val="1DE943E2"/>
    <w:rsid w:val="1E436B64"/>
    <w:rsid w:val="1EC46892"/>
    <w:rsid w:val="1FF91B45"/>
    <w:rsid w:val="204C6258"/>
    <w:rsid w:val="21577FEB"/>
    <w:rsid w:val="215F19F2"/>
    <w:rsid w:val="21BC76DD"/>
    <w:rsid w:val="23E44A4E"/>
    <w:rsid w:val="242C0637"/>
    <w:rsid w:val="274438CF"/>
    <w:rsid w:val="27C970B2"/>
    <w:rsid w:val="27E60C1B"/>
    <w:rsid w:val="288258D2"/>
    <w:rsid w:val="28B95E14"/>
    <w:rsid w:val="297F4B80"/>
    <w:rsid w:val="2A920EC6"/>
    <w:rsid w:val="2AD02517"/>
    <w:rsid w:val="2BE65932"/>
    <w:rsid w:val="2D55418C"/>
    <w:rsid w:val="2F6319E3"/>
    <w:rsid w:val="2F806560"/>
    <w:rsid w:val="2FAA3B54"/>
    <w:rsid w:val="2FBB05DE"/>
    <w:rsid w:val="2FEF5C41"/>
    <w:rsid w:val="2FFE6E97"/>
    <w:rsid w:val="30176B2E"/>
    <w:rsid w:val="303D6876"/>
    <w:rsid w:val="30C2247F"/>
    <w:rsid w:val="317E5441"/>
    <w:rsid w:val="31B407D1"/>
    <w:rsid w:val="31E15640"/>
    <w:rsid w:val="31F40552"/>
    <w:rsid w:val="322D2FA3"/>
    <w:rsid w:val="328C1265"/>
    <w:rsid w:val="32B1110F"/>
    <w:rsid w:val="331C70A5"/>
    <w:rsid w:val="33446285"/>
    <w:rsid w:val="345D2F8C"/>
    <w:rsid w:val="350E7D61"/>
    <w:rsid w:val="356A1FB2"/>
    <w:rsid w:val="356E0ECC"/>
    <w:rsid w:val="36D7392D"/>
    <w:rsid w:val="372177EF"/>
    <w:rsid w:val="37942129"/>
    <w:rsid w:val="390F27F5"/>
    <w:rsid w:val="39411AF0"/>
    <w:rsid w:val="3A070C7D"/>
    <w:rsid w:val="3ABF1071"/>
    <w:rsid w:val="3BE66A30"/>
    <w:rsid w:val="3F01614B"/>
    <w:rsid w:val="3FE8523D"/>
    <w:rsid w:val="400C352D"/>
    <w:rsid w:val="425E265B"/>
    <w:rsid w:val="429B1C7D"/>
    <w:rsid w:val="42B07C0D"/>
    <w:rsid w:val="42D824EF"/>
    <w:rsid w:val="42EF0BDA"/>
    <w:rsid w:val="4303462B"/>
    <w:rsid w:val="44826434"/>
    <w:rsid w:val="44B05D81"/>
    <w:rsid w:val="44C93634"/>
    <w:rsid w:val="461E6C96"/>
    <w:rsid w:val="46211609"/>
    <w:rsid w:val="4691660C"/>
    <w:rsid w:val="46CB2D5E"/>
    <w:rsid w:val="471D35C3"/>
    <w:rsid w:val="47DB11B9"/>
    <w:rsid w:val="47F6649C"/>
    <w:rsid w:val="4A7931B5"/>
    <w:rsid w:val="4B477F0D"/>
    <w:rsid w:val="4B852ED9"/>
    <w:rsid w:val="4E3E5CCC"/>
    <w:rsid w:val="4EAF3BDF"/>
    <w:rsid w:val="4F5D566E"/>
    <w:rsid w:val="4FF4512D"/>
    <w:rsid w:val="53D44D23"/>
    <w:rsid w:val="55174296"/>
    <w:rsid w:val="55344227"/>
    <w:rsid w:val="55BF2A09"/>
    <w:rsid w:val="56440230"/>
    <w:rsid w:val="564C3EA4"/>
    <w:rsid w:val="568C3404"/>
    <w:rsid w:val="57864F4B"/>
    <w:rsid w:val="57DE4C17"/>
    <w:rsid w:val="582D5DF0"/>
    <w:rsid w:val="585E1334"/>
    <w:rsid w:val="58C10FEA"/>
    <w:rsid w:val="5A2E1FA3"/>
    <w:rsid w:val="5A7D52AE"/>
    <w:rsid w:val="5A9C5865"/>
    <w:rsid w:val="5ABE6335"/>
    <w:rsid w:val="5ADB710B"/>
    <w:rsid w:val="5BB870FA"/>
    <w:rsid w:val="5BCC118C"/>
    <w:rsid w:val="5C0721C4"/>
    <w:rsid w:val="5C0F3661"/>
    <w:rsid w:val="5C102864"/>
    <w:rsid w:val="5C463B05"/>
    <w:rsid w:val="5D072CDF"/>
    <w:rsid w:val="5D6C1968"/>
    <w:rsid w:val="5D733E1C"/>
    <w:rsid w:val="5EB36A3D"/>
    <w:rsid w:val="5F7C41D9"/>
    <w:rsid w:val="5F9333B9"/>
    <w:rsid w:val="63826735"/>
    <w:rsid w:val="63C40272"/>
    <w:rsid w:val="63CA14A4"/>
    <w:rsid w:val="65A60558"/>
    <w:rsid w:val="65B126AE"/>
    <w:rsid w:val="65D22B4E"/>
    <w:rsid w:val="66A24A73"/>
    <w:rsid w:val="66D72B55"/>
    <w:rsid w:val="67826E14"/>
    <w:rsid w:val="683977E1"/>
    <w:rsid w:val="684B7D5A"/>
    <w:rsid w:val="6934577E"/>
    <w:rsid w:val="69435BDC"/>
    <w:rsid w:val="694C43F0"/>
    <w:rsid w:val="69635572"/>
    <w:rsid w:val="69FB7EAB"/>
    <w:rsid w:val="6A0061B9"/>
    <w:rsid w:val="6A150DB3"/>
    <w:rsid w:val="6A2C1302"/>
    <w:rsid w:val="6AA42653"/>
    <w:rsid w:val="6B4C54A0"/>
    <w:rsid w:val="6BC57ACE"/>
    <w:rsid w:val="6DC671FB"/>
    <w:rsid w:val="6DE844AF"/>
    <w:rsid w:val="6E1B76EF"/>
    <w:rsid w:val="6E2C2AFF"/>
    <w:rsid w:val="6EA30A79"/>
    <w:rsid w:val="6F4B7771"/>
    <w:rsid w:val="6FC1247C"/>
    <w:rsid w:val="70591712"/>
    <w:rsid w:val="705D578B"/>
    <w:rsid w:val="706E310B"/>
    <w:rsid w:val="70B4357E"/>
    <w:rsid w:val="70C84494"/>
    <w:rsid w:val="719E0553"/>
    <w:rsid w:val="72B373EA"/>
    <w:rsid w:val="73247837"/>
    <w:rsid w:val="755E2469"/>
    <w:rsid w:val="77FE4D05"/>
    <w:rsid w:val="780D6488"/>
    <w:rsid w:val="78C935D5"/>
    <w:rsid w:val="78E563C5"/>
    <w:rsid w:val="7A796DCD"/>
    <w:rsid w:val="7AB05614"/>
    <w:rsid w:val="7AC05C62"/>
    <w:rsid w:val="7AED3273"/>
    <w:rsid w:val="7B4140A3"/>
    <w:rsid w:val="7BCC66F8"/>
    <w:rsid w:val="7CA421FB"/>
    <w:rsid w:val="7CFF4F1A"/>
    <w:rsid w:val="7D4F6073"/>
    <w:rsid w:val="7D5D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autoRedefine/>
    <w:semiHidden/>
    <w:qFormat/>
    <w:uiPriority w:val="0"/>
    <w:rPr>
      <w:rFonts w:hint="eastAsia" w:ascii="宋体" w:hAnsi="Times New Roman" w:eastAsia="宋体" w:cs="Times New Roman"/>
      <w:sz w:val="21"/>
    </w:rPr>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toc 5"/>
    <w:basedOn w:val="1"/>
    <w:next w:val="1"/>
    <w:qFormat/>
    <w:uiPriority w:val="0"/>
    <w:pPr>
      <w:spacing w:line="300" w:lineRule="exact"/>
      <w:ind w:left="1680" w:leftChars="800"/>
    </w:pPr>
    <w:rPr>
      <w:rFonts w:hAnsi="宋体"/>
    </w:rPr>
  </w:style>
  <w:style w:type="paragraph" w:styleId="13">
    <w:name w:val="toc 3"/>
    <w:basedOn w:val="1"/>
    <w:next w:val="1"/>
    <w:qFormat/>
    <w:uiPriority w:val="0"/>
    <w:pPr>
      <w:spacing w:line="300" w:lineRule="exact"/>
      <w:ind w:left="840" w:leftChars="400"/>
    </w:pPr>
    <w:rPr>
      <w:rFonts w:hAnsi="宋体"/>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spacing w:line="400" w:lineRule="exact"/>
    </w:pPr>
    <w:rPr>
      <w:rFonts w:hAnsi="宋体"/>
    </w:rPr>
  </w:style>
  <w:style w:type="paragraph" w:styleId="17">
    <w:name w:val="toc 4"/>
    <w:basedOn w:val="1"/>
    <w:next w:val="1"/>
    <w:qFormat/>
    <w:uiPriority w:val="0"/>
    <w:pPr>
      <w:spacing w:line="300" w:lineRule="exact"/>
      <w:ind w:left="1260" w:leftChars="600"/>
    </w:pPr>
    <w:rPr>
      <w:rFonts w:hAnsi="宋体"/>
    </w:rPr>
  </w:style>
  <w:style w:type="paragraph" w:styleId="18">
    <w:name w:val="footnote text"/>
    <w:basedOn w:val="1"/>
    <w:qFormat/>
    <w:uiPriority w:val="0"/>
    <w:pPr>
      <w:widowControl/>
      <w:numPr>
        <w:ilvl w:val="0"/>
        <w:numId w:val="3"/>
      </w:numPr>
      <w:autoSpaceDE w:val="0"/>
      <w:autoSpaceDN w:val="0"/>
      <w:snapToGrid/>
      <w:spacing w:beforeLines="0" w:afterLines="0"/>
      <w:ind w:left="1380" w:leftChars="200" w:hanging="960" w:hangingChars="200"/>
      <w:jc w:val="both"/>
    </w:pPr>
    <w:rPr>
      <w:rFonts w:hAnsi="宋体"/>
      <w:sz w:val="15"/>
    </w:rPr>
  </w:style>
  <w:style w:type="paragraph" w:styleId="19">
    <w:name w:val="toc 6"/>
    <w:basedOn w:val="1"/>
    <w:next w:val="1"/>
    <w:qFormat/>
    <w:uiPriority w:val="0"/>
    <w:pPr>
      <w:spacing w:line="300" w:lineRule="exact"/>
      <w:ind w:left="2100" w:leftChars="1000"/>
    </w:pPr>
    <w:rPr>
      <w:rFonts w:hAnsi="宋体"/>
    </w:rPr>
  </w:style>
  <w:style w:type="paragraph" w:styleId="20">
    <w:name w:val="toc 2"/>
    <w:basedOn w:val="1"/>
    <w:next w:val="1"/>
    <w:qFormat/>
    <w:uiPriority w:val="0"/>
    <w:pPr>
      <w:spacing w:line="300" w:lineRule="exact"/>
      <w:ind w:left="420" w:leftChars="200"/>
    </w:pPr>
    <w:rPr>
      <w:rFonts w:hAnsi="宋体"/>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semiHidden/>
    <w:qFormat/>
    <w:uiPriority w:val="0"/>
    <w:rPr>
      <w:rFonts w:ascii="Times New Roman" w:hAnsi="Times New Roman" w:eastAsia="宋体"/>
      <w:sz w:val="18"/>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footnote reference"/>
    <w:basedOn w:val="23"/>
    <w:qFormat/>
    <w:uiPriority w:val="0"/>
    <w:rPr>
      <w:rFonts w:ascii="宋体" w:hAnsi="宋体" w:eastAsia="宋体" w:cs="宋体"/>
      <w:sz w:val="18"/>
      <w:vertAlign w:val="superscript"/>
    </w:rPr>
  </w:style>
  <w:style w:type="paragraph" w:customStyle="1" w:styleId="28">
    <w:name w:val="标准文件_段"/>
    <w:qFormat/>
    <w:uiPriority w:val="0"/>
    <w:pPr>
      <w:spacing w:beforeLines="0" w:afterLines="0"/>
      <w:ind w:firstLine="960" w:firstLineChars="200"/>
      <w:jc w:val="both"/>
    </w:pPr>
    <w:rPr>
      <w:rFonts w:hint="eastAsia" w:ascii="宋体" w:hAnsi="Times New Roman" w:eastAsia="宋体" w:cs="宋体"/>
      <w:sz w:val="21"/>
    </w:rPr>
  </w:style>
  <w:style w:type="paragraph" w:customStyle="1" w:styleId="29">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30">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31">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32">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33">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4">
    <w:name w:val="标准书脚_奇数页"/>
    <w:qFormat/>
    <w:uiPriority w:val="0"/>
    <w:pPr>
      <w:ind w:right="227"/>
      <w:jc w:val="right"/>
    </w:pPr>
    <w:rPr>
      <w:rFonts w:hint="eastAsia" w:ascii="宋体" w:hAnsi="Times New Roman" w:eastAsia="宋体" w:cs="宋体"/>
      <w:sz w:val="18"/>
    </w:rPr>
  </w:style>
  <w:style w:type="paragraph" w:customStyle="1" w:styleId="35">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6">
    <w:name w:val="标准书眉_偶数页"/>
    <w:next w:val="1"/>
    <w:qFormat/>
    <w:uiPriority w:val="0"/>
    <w:pPr>
      <w:spacing w:after="120"/>
    </w:pPr>
    <w:rPr>
      <w:rFonts w:hint="eastAsia" w:ascii="黑体" w:hAnsi="Times New Roman" w:eastAsia="黑体" w:cs="黑体"/>
      <w:sz w:val="21"/>
    </w:rPr>
  </w:style>
  <w:style w:type="paragraph" w:customStyle="1" w:styleId="37">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8">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9">
    <w:name w:val="发布部门"/>
    <w:next w:val="28"/>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40">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41">
    <w:name w:val="实施日期"/>
    <w:basedOn w:val="40"/>
    <w:qFormat/>
    <w:uiPriority w:val="0"/>
    <w:pPr>
      <w:framePr w:hSpace="0" w:wrap="around" w:vAnchor="page" w:hAnchor="page" w:x="7089" w:y="14176"/>
      <w:jc w:val="right"/>
    </w:pPr>
  </w:style>
  <w:style w:type="paragraph" w:customStyle="1" w:styleId="42">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43">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4">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5">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6">
    <w:name w:val="封面标准英文名称"/>
    <w:basedOn w:val="45"/>
    <w:qFormat/>
    <w:uiPriority w:val="0"/>
    <w:pPr>
      <w:widowControl w:val="0"/>
      <w:spacing w:before="410" w:line="360" w:lineRule="exact"/>
      <w:textAlignment w:val="bottom"/>
    </w:pPr>
    <w:rPr>
      <w:rFonts w:ascii="Times New Roman" w:hAnsi="Times New Roman" w:cs="Times New Roman"/>
      <w:sz w:val="28"/>
    </w:rPr>
  </w:style>
  <w:style w:type="paragraph" w:customStyle="1" w:styleId="47">
    <w:name w:val="封面一致性程度标识"/>
    <w:basedOn w:val="46"/>
    <w:qFormat/>
    <w:uiPriority w:val="0"/>
    <w:pPr>
      <w:spacing w:before="760"/>
    </w:pPr>
  </w:style>
  <w:style w:type="paragraph" w:customStyle="1" w:styleId="48">
    <w:name w:val="封面标准文稿类别"/>
    <w:basedOn w:val="47"/>
    <w:qFormat/>
    <w:uiPriority w:val="0"/>
    <w:pPr>
      <w:spacing w:before="440" w:after="160"/>
    </w:pPr>
    <w:rPr>
      <w:rFonts w:ascii="黑体" w:hAnsi="黑体" w:cs="黑体"/>
      <w:sz w:val="24"/>
    </w:rPr>
  </w:style>
  <w:style w:type="paragraph" w:customStyle="1" w:styleId="49">
    <w:name w:val="封面标准文稿编辑信息"/>
    <w:basedOn w:val="48"/>
    <w:qFormat/>
    <w:uiPriority w:val="0"/>
    <w:pPr>
      <w:spacing w:before="180" w:after="0" w:line="240" w:lineRule="atLeast"/>
    </w:pPr>
    <w:rPr>
      <w:sz w:val="21"/>
    </w:rPr>
  </w:style>
  <w:style w:type="paragraph" w:customStyle="1" w:styleId="50">
    <w:name w:val="封面标准文稿附件"/>
    <w:basedOn w:val="48"/>
    <w:qFormat/>
    <w:uiPriority w:val="0"/>
    <w:pPr>
      <w:spacing w:before="937" w:beforeLines="300" w:after="0" w:afterLines="30" w:line="240" w:lineRule="auto"/>
    </w:pPr>
    <w:rPr>
      <w:rFonts w:ascii="Times New Roman" w:hAnsi="Times New Roman" w:cs="Times New Roman"/>
      <w:b/>
      <w:sz w:val="21"/>
    </w:rPr>
  </w:style>
  <w:style w:type="paragraph" w:customStyle="1" w:styleId="51">
    <w:name w:val="其他发布部门"/>
    <w:basedOn w:val="39"/>
    <w:qFormat/>
    <w:uiPriority w:val="0"/>
    <w:pPr>
      <w:framePr w:wrap="around" w:y="15310"/>
      <w:spacing w:line="0" w:lineRule="atLeast"/>
    </w:pPr>
    <w:rPr>
      <w:rFonts w:ascii="黑体" w:hAnsi="黑体" w:eastAsia="黑体" w:cs="黑体"/>
    </w:rPr>
  </w:style>
  <w:style w:type="paragraph" w:customStyle="1" w:styleId="52">
    <w:name w:val="其他发布部门2"/>
    <w:basedOn w:val="39"/>
    <w:qFormat/>
    <w:uiPriority w:val="0"/>
    <w:pPr>
      <w:framePr w:w="7433" w:h="584" w:hRule="exact" w:hSpace="181" w:wrap="around" w:vAnchor="margin" w:hAnchor="margin" w:xAlign="center" w:y="15027"/>
      <w:spacing w:before="0" w:line="0" w:lineRule="atLeast"/>
    </w:pPr>
    <w:rPr>
      <w:rFonts w:ascii="黑体" w:hAnsi="黑体" w:eastAsia="黑体" w:cs="Times New Roman"/>
      <w:spacing w:val="0"/>
      <w:w w:val="100"/>
    </w:rPr>
  </w:style>
  <w:style w:type="paragraph" w:customStyle="1" w:styleId="53">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4">
    <w:name w:val="其他发布日期"/>
    <w:basedOn w:val="40"/>
    <w:qFormat/>
    <w:uiPriority w:val="0"/>
    <w:pPr>
      <w:framePr w:hSpace="0" w:wrap="around" w:vAnchor="page" w:hAnchor="page" w:x="1419" w:y="14176"/>
    </w:pPr>
  </w:style>
  <w:style w:type="paragraph" w:customStyle="1" w:styleId="55">
    <w:name w:val="其他实施日期"/>
    <w:basedOn w:val="41"/>
    <w:qFormat/>
    <w:uiPriority w:val="0"/>
  </w:style>
  <w:style w:type="paragraph" w:customStyle="1" w:styleId="56">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7">
    <w:name w:val="标准文件_目录标题"/>
    <w:basedOn w:val="1"/>
    <w:qFormat/>
    <w:uiPriority w:val="0"/>
    <w:pPr>
      <w:shd w:val="clear" w:fill="FFFFFF"/>
      <w:spacing w:beforeLines="0" w:after="469" w:afterLines="150"/>
      <w:jc w:val="center"/>
    </w:pPr>
    <w:rPr>
      <w:rFonts w:ascii="黑体" w:hAnsi="Times New Roman" w:eastAsia="黑体" w:cs="黑体"/>
      <w:kern w:val="0"/>
      <w:sz w:val="32"/>
    </w:rPr>
  </w:style>
  <w:style w:type="paragraph" w:customStyle="1" w:styleId="58">
    <w:name w:val="标准文件_前言、引言标题"/>
    <w:next w:val="1"/>
    <w:qFormat/>
    <w:uiPriority w:val="0"/>
    <w:pPr>
      <w:numPr>
        <w:ilvl w:val="0"/>
        <w:numId w:val="4"/>
      </w:numPr>
      <w:suppressAutoHyphens w:val="0"/>
      <w:spacing w:beforeLines="0" w:after="469" w:afterLines="150"/>
      <w:ind w:left="425" w:hanging="425"/>
      <w:jc w:val="center"/>
      <w:outlineLvl w:val="0"/>
    </w:pPr>
    <w:rPr>
      <w:rFonts w:hint="eastAsia" w:ascii="黑体" w:hAnsi="Times New Roman" w:eastAsia="黑体" w:cs="黑体"/>
      <w:sz w:val="32"/>
    </w:rPr>
  </w:style>
  <w:style w:type="paragraph" w:customStyle="1" w:styleId="59">
    <w:name w:val="标准文件_正文标准名称"/>
    <w:basedOn w:val="1"/>
    <w:link w:val="123"/>
    <w:qFormat/>
    <w:uiPriority w:val="0"/>
    <w:pPr>
      <w:widowControl/>
      <w:suppressAutoHyphens w:val="0"/>
      <w:spacing w:beforeLines="0" w:after="640" w:afterLines="0" w:line="400" w:lineRule="exact"/>
      <w:jc w:val="center"/>
    </w:pPr>
    <w:rPr>
      <w:rFonts w:ascii="黑体" w:hAnsi="黑体" w:eastAsia="黑体" w:cs="黑体"/>
      <w:sz w:val="32"/>
    </w:rPr>
  </w:style>
  <w:style w:type="paragraph" w:customStyle="1" w:styleId="60">
    <w:name w:val="标准文件_一级项"/>
    <w:next w:val="28"/>
    <w:qFormat/>
    <w:uiPriority w:val="0"/>
    <w:pPr>
      <w:numPr>
        <w:ilvl w:val="0"/>
        <w:numId w:val="5"/>
      </w:numPr>
      <w:suppressAutoHyphens w:val="0"/>
      <w:spacing w:beforeLines="0" w:afterLines="0"/>
      <w:ind w:left="851" w:hanging="426"/>
    </w:pPr>
    <w:rPr>
      <w:rFonts w:hint="eastAsia" w:ascii="宋体" w:hAnsi="Times New Roman" w:eastAsia="宋体" w:cs="宋体"/>
      <w:sz w:val="21"/>
    </w:rPr>
  </w:style>
  <w:style w:type="paragraph" w:customStyle="1" w:styleId="61">
    <w:name w:val="标准文件_二级项2"/>
    <w:basedOn w:val="28"/>
    <w:next w:val="28"/>
    <w:qFormat/>
    <w:uiPriority w:val="0"/>
    <w:pPr>
      <w:numPr>
        <w:ilvl w:val="1"/>
        <w:numId w:val="5"/>
      </w:numPr>
      <w:suppressAutoHyphens w:val="0"/>
      <w:ind w:left="1270" w:hanging="419"/>
    </w:pPr>
    <w:rPr>
      <w:rFonts w:hAnsi="Times New Roman"/>
    </w:rPr>
  </w:style>
  <w:style w:type="paragraph" w:customStyle="1" w:styleId="62">
    <w:name w:val="标准文件_三级项"/>
    <w:basedOn w:val="1"/>
    <w:next w:val="28"/>
    <w:qFormat/>
    <w:uiPriority w:val="0"/>
    <w:pPr>
      <w:numPr>
        <w:ilvl w:val="2"/>
        <w:numId w:val="6"/>
      </w:numPr>
      <w:suppressAutoHyphens w:val="0"/>
      <w:spacing w:beforeLines="0" w:afterLines="0" w:line="300" w:lineRule="exact"/>
      <w:ind w:left="1678" w:hanging="414"/>
    </w:pPr>
    <w:rPr>
      <w:rFonts w:hAnsi="+西文正文"/>
    </w:rPr>
  </w:style>
  <w:style w:type="paragraph" w:customStyle="1" w:styleId="63">
    <w:name w:val="标准文件_字母编号列项（一级）"/>
    <w:next w:val="28"/>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8"/>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条标题"/>
    <w:basedOn w:val="28"/>
    <w:next w:val="28"/>
    <w:qFormat/>
    <w:uiPriority w:val="0"/>
    <w:pPr>
      <w:numPr>
        <w:ilvl w:val="1"/>
        <w:numId w:val="4"/>
      </w:numPr>
      <w:spacing w:before="157" w:beforeLines="50" w:after="157" w:afterLines="50"/>
    </w:pPr>
    <w:rPr>
      <w:rFonts w:ascii="黑体" w:hAnsi="黑体" w:eastAsia="黑体" w:cs="黑体"/>
    </w:rPr>
  </w:style>
  <w:style w:type="paragraph" w:customStyle="1" w:styleId="66">
    <w:name w:val="标准文件_引言二级条标题"/>
    <w:basedOn w:val="28"/>
    <w:next w:val="28"/>
    <w:qFormat/>
    <w:uiPriority w:val="0"/>
    <w:pPr>
      <w:numPr>
        <w:ilvl w:val="2"/>
        <w:numId w:val="4"/>
      </w:numPr>
      <w:spacing w:before="157" w:beforeLines="50" w:after="157" w:afterLines="50"/>
    </w:pPr>
    <w:rPr>
      <w:rFonts w:ascii="黑体" w:hAnsi="黑体" w:eastAsia="黑体" w:cs="黑体"/>
    </w:rPr>
  </w:style>
  <w:style w:type="paragraph" w:customStyle="1" w:styleId="67">
    <w:name w:val="标准文件_引言三级条标题"/>
    <w:basedOn w:val="28"/>
    <w:next w:val="28"/>
    <w:qFormat/>
    <w:uiPriority w:val="0"/>
    <w:pPr>
      <w:numPr>
        <w:ilvl w:val="3"/>
        <w:numId w:val="4"/>
      </w:numPr>
      <w:spacing w:before="157" w:beforeLines="50" w:after="157" w:afterLines="50"/>
    </w:pPr>
    <w:rPr>
      <w:rFonts w:ascii="黑体" w:hAnsi="黑体" w:eastAsia="黑体" w:cs="黑体"/>
    </w:rPr>
  </w:style>
  <w:style w:type="paragraph" w:customStyle="1" w:styleId="68">
    <w:name w:val="标准文件_引言四级条标题"/>
    <w:basedOn w:val="28"/>
    <w:next w:val="28"/>
    <w:qFormat/>
    <w:uiPriority w:val="0"/>
    <w:pPr>
      <w:numPr>
        <w:ilvl w:val="4"/>
        <w:numId w:val="4"/>
      </w:numPr>
      <w:spacing w:before="157" w:beforeLines="50" w:after="157" w:afterLines="50"/>
    </w:pPr>
    <w:rPr>
      <w:rFonts w:ascii="黑体" w:hAnsi="黑体" w:eastAsia="黑体" w:cs="黑体"/>
    </w:rPr>
  </w:style>
  <w:style w:type="paragraph" w:customStyle="1" w:styleId="69">
    <w:name w:val="标准文件_引言五级条标题"/>
    <w:basedOn w:val="28"/>
    <w:next w:val="28"/>
    <w:qFormat/>
    <w:uiPriority w:val="0"/>
    <w:pPr>
      <w:numPr>
        <w:ilvl w:val="5"/>
        <w:numId w:val="4"/>
      </w:numPr>
      <w:spacing w:before="157" w:beforeLines="50" w:after="157" w:afterLines="50"/>
    </w:pPr>
    <w:rPr>
      <w:rFonts w:ascii="黑体" w:hAnsi="黑体" w:eastAsia="黑体" w:cs="黑体"/>
    </w:rPr>
  </w:style>
  <w:style w:type="paragraph" w:customStyle="1" w:styleId="70">
    <w:name w:val="标准文件_引言一级无标题"/>
    <w:basedOn w:val="65"/>
    <w:next w:val="28"/>
    <w:qFormat/>
    <w:uiPriority w:val="0"/>
    <w:pPr>
      <w:spacing w:before="4" w:beforeLines="1" w:after="4" w:afterLines="1" w:line="276" w:lineRule="auto"/>
    </w:pPr>
    <w:rPr>
      <w:rFonts w:ascii="宋体" w:hAnsi="宋体" w:eastAsia="宋体" w:cs="宋体"/>
    </w:rPr>
  </w:style>
  <w:style w:type="paragraph" w:customStyle="1" w:styleId="71">
    <w:name w:val="标准文件_引言二级无标题"/>
    <w:basedOn w:val="66"/>
    <w:next w:val="28"/>
    <w:qFormat/>
    <w:uiPriority w:val="0"/>
    <w:pPr>
      <w:spacing w:before="4" w:beforeLines="1" w:after="4" w:afterLines="1" w:line="276" w:lineRule="auto"/>
    </w:pPr>
    <w:rPr>
      <w:rFonts w:ascii="宋体" w:hAnsi="宋体" w:eastAsia="宋体" w:cs="宋体"/>
    </w:rPr>
  </w:style>
  <w:style w:type="paragraph" w:customStyle="1" w:styleId="72">
    <w:name w:val="标准文件_引言三级无标题"/>
    <w:basedOn w:val="67"/>
    <w:next w:val="28"/>
    <w:qFormat/>
    <w:uiPriority w:val="0"/>
    <w:pPr>
      <w:spacing w:before="4" w:beforeLines="1" w:after="4" w:afterLines="1" w:line="276" w:lineRule="auto"/>
    </w:pPr>
    <w:rPr>
      <w:rFonts w:ascii="宋体" w:hAnsi="宋体" w:eastAsia="宋体" w:cs="宋体"/>
    </w:rPr>
  </w:style>
  <w:style w:type="paragraph" w:customStyle="1" w:styleId="73">
    <w:name w:val="标准文件_引言四级无标题"/>
    <w:basedOn w:val="68"/>
    <w:next w:val="28"/>
    <w:qFormat/>
    <w:uiPriority w:val="0"/>
    <w:pPr>
      <w:spacing w:before="4" w:beforeLines="1" w:after="4" w:afterLines="1" w:line="276" w:lineRule="auto"/>
    </w:pPr>
    <w:rPr>
      <w:rFonts w:ascii="宋体" w:hAnsi="宋体" w:eastAsia="宋体" w:cs="宋体"/>
    </w:rPr>
  </w:style>
  <w:style w:type="paragraph" w:customStyle="1" w:styleId="74">
    <w:name w:val="标准文件_引言五级无标题"/>
    <w:basedOn w:val="69"/>
    <w:next w:val="28"/>
    <w:qFormat/>
    <w:uiPriority w:val="0"/>
    <w:pPr>
      <w:spacing w:before="4" w:beforeLines="1" w:after="4" w:afterLines="1" w:line="276" w:lineRule="auto"/>
    </w:pPr>
    <w:rPr>
      <w:rFonts w:ascii="宋体" w:hAnsi="宋体" w:eastAsia="宋体" w:cs="宋体"/>
    </w:rPr>
  </w:style>
  <w:style w:type="paragraph" w:customStyle="1" w:styleId="75">
    <w:name w:val="标准文件_章标题"/>
    <w:next w:val="28"/>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6">
    <w:name w:val="标准文件_一级条标题"/>
    <w:basedOn w:val="75"/>
    <w:next w:val="28"/>
    <w:qFormat/>
    <w:uiPriority w:val="0"/>
    <w:pPr>
      <w:numPr>
        <w:ilvl w:val="1"/>
      </w:numPr>
      <w:spacing w:before="157" w:beforeLines="50" w:after="157" w:afterLines="50"/>
      <w:outlineLvl w:val="1"/>
    </w:pPr>
    <w:rPr>
      <w:rFonts w:hAnsi="Times New Roman"/>
    </w:rPr>
  </w:style>
  <w:style w:type="paragraph" w:customStyle="1" w:styleId="77">
    <w:name w:val="标准文件_二级条标题"/>
    <w:next w:val="28"/>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8">
    <w:name w:val="标准文件_三级条标题"/>
    <w:basedOn w:val="77"/>
    <w:next w:val="28"/>
    <w:qFormat/>
    <w:uiPriority w:val="0"/>
    <w:pPr>
      <w:numPr>
        <w:ilvl w:val="3"/>
      </w:numPr>
      <w:spacing w:before="157" w:after="157"/>
      <w:outlineLvl w:val="3"/>
    </w:pPr>
  </w:style>
  <w:style w:type="paragraph" w:customStyle="1" w:styleId="79">
    <w:name w:val="标准文件_四级条标题"/>
    <w:next w:val="28"/>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80">
    <w:name w:val="标准文件_五级条标题"/>
    <w:next w:val="28"/>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81">
    <w:name w:val="标准文件_一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二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三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四级无标题"/>
    <w:basedOn w:val="79"/>
    <w:qFormat/>
    <w:uiPriority w:val="0"/>
    <w:pPr>
      <w:spacing w:before="4" w:beforeLines="1" w:after="4" w:afterLines="1"/>
      <w:outlineLvl w:val="9"/>
    </w:pPr>
    <w:rPr>
      <w:rFonts w:ascii="宋体" w:hAnsi="宋体" w:eastAsia="宋体" w:cs="宋体"/>
    </w:rPr>
  </w:style>
  <w:style w:type="paragraph" w:customStyle="1" w:styleId="85">
    <w:name w:val="标准文件_五级无标题"/>
    <w:basedOn w:val="80"/>
    <w:qFormat/>
    <w:uiPriority w:val="0"/>
    <w:pPr>
      <w:spacing w:before="4" w:beforeLines="1" w:after="4" w:afterLines="1"/>
      <w:outlineLvl w:val="9"/>
    </w:pPr>
    <w:rPr>
      <w:rFonts w:ascii="宋体" w:hAnsi="宋体" w:eastAsia="宋体" w:cs="宋体"/>
    </w:rPr>
  </w:style>
  <w:style w:type="paragraph" w:customStyle="1" w:styleId="86">
    <w:name w:val="标准文件_术语条一"/>
    <w:basedOn w:val="81"/>
    <w:next w:val="28"/>
    <w:qFormat/>
    <w:uiPriority w:val="0"/>
    <w:pPr>
      <w:ind w:left="960" w:hanging="960" w:hangingChars="200"/>
    </w:pPr>
    <w:rPr>
      <w:rFonts w:ascii="黑体" w:hAnsi="黑体" w:eastAsia="黑体" w:cs="黑体"/>
    </w:rPr>
  </w:style>
  <w:style w:type="paragraph" w:customStyle="1" w:styleId="87">
    <w:name w:val="标准文件_术语条二"/>
    <w:basedOn w:val="82"/>
    <w:next w:val="28"/>
    <w:qFormat/>
    <w:uiPriority w:val="0"/>
    <w:pPr>
      <w:ind w:left="960" w:hanging="960" w:hangingChars="200"/>
    </w:pPr>
    <w:rPr>
      <w:rFonts w:ascii="黑体" w:hAnsi="黑体" w:eastAsia="黑体" w:cs="黑体"/>
    </w:rPr>
  </w:style>
  <w:style w:type="paragraph" w:customStyle="1" w:styleId="88">
    <w:name w:val="标准文件_术语条三"/>
    <w:basedOn w:val="83"/>
    <w:next w:val="28"/>
    <w:qFormat/>
    <w:uiPriority w:val="0"/>
    <w:pPr>
      <w:ind w:left="960" w:hanging="960" w:hangingChars="200"/>
    </w:pPr>
    <w:rPr>
      <w:rFonts w:ascii="黑体" w:hAnsi="黑体" w:eastAsia="黑体" w:cs="黑体"/>
    </w:rPr>
  </w:style>
  <w:style w:type="paragraph" w:customStyle="1" w:styleId="89">
    <w:name w:val="标准文件_术语条四"/>
    <w:basedOn w:val="84"/>
    <w:next w:val="28"/>
    <w:qFormat/>
    <w:uiPriority w:val="0"/>
    <w:pPr>
      <w:ind w:left="960" w:hanging="960" w:hangingChars="200"/>
    </w:pPr>
    <w:rPr>
      <w:rFonts w:ascii="黑体" w:hAnsi="黑体" w:eastAsia="黑体" w:cs="黑体"/>
    </w:rPr>
  </w:style>
  <w:style w:type="paragraph" w:customStyle="1" w:styleId="90">
    <w:name w:val="标准文件_术语条五"/>
    <w:basedOn w:val="85"/>
    <w:next w:val="28"/>
    <w:qFormat/>
    <w:uiPriority w:val="0"/>
    <w:pPr>
      <w:ind w:left="960" w:hanging="960" w:hangingChars="200"/>
    </w:pPr>
    <w:rPr>
      <w:rFonts w:ascii="黑体" w:hAnsi="黑体" w:eastAsia="黑体" w:cs="黑体"/>
    </w:rPr>
  </w:style>
  <w:style w:type="paragraph" w:customStyle="1" w:styleId="91">
    <w:name w:val="标准文件_附录标识"/>
    <w:basedOn w:val="1"/>
    <w:next w:val="28"/>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92">
    <w:name w:val="标准文件_附录一级条标题"/>
    <w:next w:val="28"/>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二级条标题"/>
    <w:next w:val="28"/>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三级条标题"/>
    <w:next w:val="28"/>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5">
    <w:name w:val="标准文件_附录四级条标题"/>
    <w:next w:val="28"/>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6">
    <w:name w:val="标准文件_附录五级条标题"/>
    <w:next w:val="28"/>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7">
    <w:name w:val="标准文件_附录一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二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三级无标题"/>
    <w:basedOn w:val="94"/>
    <w:qFormat/>
    <w:uiPriority w:val="0"/>
    <w:pPr>
      <w:spacing w:before="4" w:beforeLines="1" w:after="4" w:afterLines="1" w:line="276" w:lineRule="auto"/>
    </w:pPr>
    <w:rPr>
      <w:rFonts w:ascii="宋体" w:hAnsi="宋体" w:eastAsia="宋体" w:cs="宋体"/>
    </w:rPr>
  </w:style>
  <w:style w:type="paragraph" w:customStyle="1" w:styleId="100">
    <w:name w:val="标准文件_附录四级无标题"/>
    <w:basedOn w:val="95"/>
    <w:qFormat/>
    <w:uiPriority w:val="0"/>
    <w:pPr>
      <w:spacing w:before="4" w:beforeLines="1" w:after="4" w:afterLines="1" w:line="276" w:lineRule="auto"/>
    </w:pPr>
    <w:rPr>
      <w:rFonts w:ascii="宋体" w:hAnsi="宋体" w:eastAsia="宋体" w:cs="宋体"/>
    </w:rPr>
  </w:style>
  <w:style w:type="paragraph" w:customStyle="1" w:styleId="101">
    <w:name w:val="标准文件_附录五级无标题"/>
    <w:basedOn w:val="96"/>
    <w:qFormat/>
    <w:uiPriority w:val="0"/>
    <w:pPr>
      <w:spacing w:before="4" w:beforeLines="1" w:after="4" w:afterLines="1" w:line="276" w:lineRule="auto"/>
    </w:pPr>
    <w:rPr>
      <w:rFonts w:ascii="宋体" w:hAnsi="宋体" w:eastAsia="宋体" w:cs="宋体"/>
    </w:rPr>
  </w:style>
  <w:style w:type="paragraph" w:customStyle="1" w:styleId="102">
    <w:name w:val="附录图标号"/>
    <w:basedOn w:val="28"/>
    <w:next w:val="28"/>
    <w:qFormat/>
    <w:uiPriority w:val="0"/>
    <w:pPr>
      <w:numPr>
        <w:ilvl w:val="0"/>
        <w:numId w:val="2"/>
      </w:numPr>
      <w:spacing w:line="14" w:lineRule="exact"/>
      <w:ind w:left="0"/>
      <w:jc w:val="center"/>
    </w:pPr>
    <w:rPr>
      <w:sz w:val="2"/>
    </w:rPr>
  </w:style>
  <w:style w:type="paragraph" w:customStyle="1" w:styleId="103">
    <w:name w:val="附录图标题"/>
    <w:next w:val="28"/>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4">
    <w:name w:val="附录表标号"/>
    <w:basedOn w:val="28"/>
    <w:next w:val="28"/>
    <w:qFormat/>
    <w:uiPriority w:val="0"/>
    <w:pPr>
      <w:numPr>
        <w:ilvl w:val="0"/>
        <w:numId w:val="9"/>
      </w:numPr>
      <w:spacing w:line="14" w:lineRule="exact"/>
      <w:ind w:left="0"/>
      <w:jc w:val="center"/>
    </w:pPr>
    <w:rPr>
      <w:sz w:val="2"/>
    </w:rPr>
  </w:style>
  <w:style w:type="paragraph" w:customStyle="1" w:styleId="105">
    <w:name w:val="附录表标题"/>
    <w:next w:val="28"/>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6">
    <w:name w:val="标准文件_示例内容"/>
    <w:basedOn w:val="28"/>
    <w:qFormat/>
    <w:uiPriority w:val="0"/>
    <w:pPr>
      <w:suppressAutoHyphens w:val="0"/>
    </w:pPr>
    <w:rPr>
      <w:rFonts w:hAnsi="宋体"/>
      <w:sz w:val="18"/>
    </w:rPr>
  </w:style>
  <w:style w:type="paragraph" w:customStyle="1" w:styleId="107">
    <w:name w:val="标准文件_示例"/>
    <w:next w:val="106"/>
    <w:qFormat/>
    <w:uiPriority w:val="0"/>
    <w:pPr>
      <w:numPr>
        <w:ilvl w:val="0"/>
        <w:numId w:val="10"/>
      </w:numPr>
      <w:suppressAutoHyphens w:val="0"/>
      <w:spacing w:beforeLines="0" w:afterLines="0"/>
      <w:jc w:val="both"/>
    </w:pPr>
    <w:rPr>
      <w:rFonts w:hint="eastAsia" w:ascii="宋体" w:hAnsi="宋体" w:eastAsia="宋体" w:cs="宋体"/>
      <w:sz w:val="18"/>
    </w:rPr>
  </w:style>
  <w:style w:type="paragraph" w:customStyle="1" w:styleId="108">
    <w:name w:val="标准文件_示例×"/>
    <w:basedOn w:val="1"/>
    <w:next w:val="106"/>
    <w:qFormat/>
    <w:uiPriority w:val="0"/>
    <w:pPr>
      <w:widowControl/>
      <w:numPr>
        <w:ilvl w:val="0"/>
        <w:numId w:val="11"/>
      </w:numPr>
      <w:suppressAutoHyphens w:val="0"/>
      <w:spacing w:beforeLines="0" w:afterLines="0"/>
      <w:ind w:firstLine="363"/>
    </w:pPr>
    <w:rPr>
      <w:rFonts w:hAnsi="Times New Roman"/>
      <w:sz w:val="18"/>
    </w:rPr>
  </w:style>
  <w:style w:type="paragraph" w:customStyle="1" w:styleId="109">
    <w:name w:val="标准文件_注"/>
    <w:next w:val="28"/>
    <w:qFormat/>
    <w:uiPriority w:val="0"/>
    <w:pPr>
      <w:numPr>
        <w:ilvl w:val="0"/>
        <w:numId w:val="12"/>
      </w:numPr>
      <w:autoSpaceDE w:val="0"/>
      <w:autoSpaceDN w:val="0"/>
      <w:spacing w:beforeLines="0" w:afterLines="0"/>
      <w:jc w:val="both"/>
    </w:pPr>
    <w:rPr>
      <w:rFonts w:hint="eastAsia" w:ascii="宋体" w:hAnsi="宋体" w:eastAsia="宋体" w:cs="宋体"/>
      <w:sz w:val="18"/>
    </w:rPr>
  </w:style>
  <w:style w:type="paragraph" w:customStyle="1" w:styleId="110">
    <w:name w:val="标准文件_注×"/>
    <w:next w:val="28"/>
    <w:qFormat/>
    <w:uiPriority w:val="0"/>
    <w:pPr>
      <w:numPr>
        <w:ilvl w:val="0"/>
        <w:numId w:val="13"/>
      </w:numPr>
      <w:spacing w:beforeLines="0" w:afterLines="0"/>
      <w:jc w:val="both"/>
    </w:pPr>
    <w:rPr>
      <w:rFonts w:hint="eastAsia" w:ascii="宋体" w:hAnsi="宋体" w:eastAsia="宋体" w:cs="宋体"/>
      <w:sz w:val="18"/>
    </w:rPr>
  </w:style>
  <w:style w:type="paragraph" w:customStyle="1" w:styleId="111">
    <w:name w:val="标准文件_图表脚注"/>
    <w:basedOn w:val="1"/>
    <w:next w:val="28"/>
    <w:qFormat/>
    <w:uiPriority w:val="0"/>
    <w:pPr>
      <w:numPr>
        <w:ilvl w:val="0"/>
        <w:numId w:val="14"/>
      </w:numPr>
      <w:suppressAutoHyphens w:val="0"/>
      <w:adjustRightInd w:val="0"/>
      <w:spacing w:beforeLines="0" w:afterLines="0"/>
      <w:jc w:val="left"/>
    </w:pPr>
    <w:rPr>
      <w:rFonts w:hAnsi="宋体"/>
      <w:sz w:val="18"/>
    </w:rPr>
  </w:style>
  <w:style w:type="paragraph" w:customStyle="1" w:styleId="112">
    <w:name w:val="标准文件_标准正文"/>
    <w:basedOn w:val="1"/>
    <w:next w:val="28"/>
    <w:qFormat/>
    <w:uiPriority w:val="0"/>
    <w:pPr>
      <w:ind w:firstLine="960" w:firstLineChars="200"/>
    </w:pPr>
  </w:style>
  <w:style w:type="paragraph" w:customStyle="1" w:styleId="113">
    <w:name w:val="标准文件_正文公式"/>
    <w:basedOn w:val="1"/>
    <w:next w:val="112"/>
    <w:qFormat/>
    <w:uiPriority w:val="0"/>
    <w:pPr>
      <w:tabs>
        <w:tab w:val="center" w:pos="4678"/>
        <w:tab w:val="right" w:leader="middleDot" w:pos="9355"/>
      </w:tabs>
    </w:pPr>
  </w:style>
  <w:style w:type="paragraph" w:customStyle="1" w:styleId="114">
    <w:name w:val="标准文件_表格"/>
    <w:basedOn w:val="28"/>
    <w:qFormat/>
    <w:uiPriority w:val="0"/>
    <w:pPr>
      <w:jc w:val="center"/>
    </w:pPr>
    <w:rPr>
      <w:sz w:val="18"/>
    </w:rPr>
  </w:style>
  <w:style w:type="paragraph" w:customStyle="1" w:styleId="115">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6">
    <w:name w:val="标准文件_正文表标题"/>
    <w:next w:val="28"/>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7">
    <w:name w:val="标准文件_正文图标题"/>
    <w:next w:val="28"/>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8">
    <w:name w:val="标准文件_索引标题"/>
    <w:basedOn w:val="37"/>
    <w:next w:val="28"/>
    <w:qFormat/>
    <w:uiPriority w:val="0"/>
    <w:rPr>
      <w:rFonts w:hAnsi="黑体"/>
    </w:rPr>
  </w:style>
  <w:style w:type="paragraph" w:customStyle="1" w:styleId="119">
    <w:name w:val="标准文件_索引项"/>
    <w:basedOn w:val="28"/>
    <w:next w:val="28"/>
    <w:qFormat/>
    <w:uiPriority w:val="0"/>
    <w:pPr>
      <w:tabs>
        <w:tab w:val="right" w:leader="dot" w:pos="9355"/>
      </w:tabs>
      <w:autoSpaceDE w:val="0"/>
      <w:autoSpaceDN w:val="0"/>
      <w:ind w:left="177" w:hanging="177" w:hangingChars="37"/>
      <w:jc w:val="left"/>
    </w:pPr>
  </w:style>
  <w:style w:type="paragraph" w:customStyle="1" w:styleId="120">
    <w:name w:val="标准文件_索引字母"/>
    <w:next w:val="28"/>
    <w:qFormat/>
    <w:uiPriority w:val="0"/>
    <w:pPr>
      <w:spacing w:beforeLines="0" w:afterLines="0"/>
      <w:jc w:val="center"/>
    </w:pPr>
    <w:rPr>
      <w:rFonts w:hint="eastAsia" w:ascii="宋体" w:hAnsi="宋体" w:eastAsia="宋体" w:cs="宋体"/>
      <w:b/>
      <w:kern w:val="2"/>
      <w:sz w:val="21"/>
    </w:rPr>
  </w:style>
  <w:style w:type="paragraph" w:customStyle="1" w:styleId="121">
    <w:name w:val="标准文件_提示"/>
    <w:basedOn w:val="1"/>
    <w:qFormat/>
    <w:uiPriority w:val="0"/>
    <w:pPr>
      <w:ind w:firstLine="960" w:firstLineChars="200"/>
    </w:pPr>
    <w:rPr>
      <w:rFonts w:ascii="黑体" w:hAnsi="黑体" w:eastAsia="黑体" w:cs="黑体"/>
    </w:rPr>
  </w:style>
  <w:style w:type="paragraph" w:customStyle="1" w:styleId="122">
    <w:name w:val="标准文件_参考文献编号"/>
    <w:basedOn w:val="28"/>
    <w:qFormat/>
    <w:uiPriority w:val="0"/>
    <w:pPr>
      <w:numPr>
        <w:ilvl w:val="0"/>
        <w:numId w:val="17"/>
      </w:numPr>
    </w:pPr>
  </w:style>
  <w:style w:type="character" w:customStyle="1" w:styleId="123">
    <w:name w:val="标准文件_正文标准名称 Char"/>
    <w:link w:val="59"/>
    <w:qFormat/>
    <w:uiPriority w:val="0"/>
    <w:rPr>
      <w:rFonts w:ascii="黑体" w:hAnsi="黑体" w:eastAsia="黑体" w:cs="黑体"/>
      <w:sz w:val="32"/>
    </w:rPr>
  </w:style>
  <w:style w:type="paragraph" w:customStyle="1" w:styleId="12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25">
    <w:name w:val="一级条标题"/>
    <w:next w:val="124"/>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6">
    <w:name w:val="章标题"/>
    <w:next w:val="124"/>
    <w:qFormat/>
    <w:uiPriority w:val="0"/>
    <w:pPr>
      <w:numPr>
        <w:ilvl w:val="0"/>
        <w:numId w:val="1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7">
    <w:name w:val="二级无标题条"/>
    <w:basedOn w:val="128"/>
    <w:qFormat/>
    <w:uiPriority w:val="0"/>
    <w:pPr>
      <w:spacing w:before="0" w:beforeLines="0" w:after="0" w:afterLines="0"/>
      <w:jc w:val="both"/>
      <w:outlineLvl w:val="9"/>
    </w:pPr>
    <w:rPr>
      <w:rFonts w:asciiTheme="majorEastAsia" w:eastAsiaTheme="majorEastAsia"/>
    </w:rPr>
  </w:style>
  <w:style w:type="paragraph" w:customStyle="1" w:styleId="128">
    <w:name w:val="二级条标题"/>
    <w:basedOn w:val="125"/>
    <w:next w:val="124"/>
    <w:qFormat/>
    <w:uiPriority w:val="0"/>
    <w:pPr>
      <w:numPr>
        <w:ilvl w:val="2"/>
      </w:numPr>
      <w:spacing w:before="50" w:after="50"/>
      <w:outlineLvl w:val="3"/>
    </w:pPr>
  </w:style>
  <w:style w:type="paragraph" w:customStyle="1" w:styleId="129">
    <w:name w:val="正文表标题"/>
    <w:next w:val="124"/>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114a6a4-dd80-4931-8e3f-29bafb5abd85}"/>
        <w:style w:val=""/>
        <w:category>
          <w:name w:val="常规"/>
          <w:gallery w:val="placeholder"/>
        </w:category>
        <w:types>
          <w:type w:val="bbPlcHdr"/>
        </w:types>
        <w:behaviors>
          <w:behavior w:val="content"/>
        </w:behaviors>
        <w:description w:val=""/>
        <w:guid w:val="{3114a6a4-dd80-4931-8e3f-29bafb5abd85}"/>
      </w:docPartPr>
      <w:docPartBody>
        <w:p w14:paraId="46FA909C">
          <w:r>
            <w:rPr>
              <w:color w:val="808080"/>
            </w:rPr>
            <w:t>选择一项。</w:t>
          </w:r>
        </w:p>
      </w:docPartBody>
    </w:docPart>
    <w:docPart>
      <w:docPartPr>
        <w:name w:val="{30287ad8-dd2c-4e7b-9d72-674067cbbd6d}"/>
        <w:style w:val=""/>
        <w:category>
          <w:name w:val="常规"/>
          <w:gallery w:val="placeholder"/>
        </w:category>
        <w:types>
          <w:type w:val="bbPlcHdr"/>
        </w:types>
        <w:behaviors>
          <w:behavior w:val="content"/>
        </w:behaviors>
        <w:description w:val=""/>
        <w:guid w:val="{30287ad8-dd2c-4e7b-9d72-674067cbbd6d}"/>
      </w:docPartPr>
      <w:docPartBody>
        <w:p w14:paraId="17DE45F6">
          <w:r>
            <w:rPr>
              <w:color w:val="808080"/>
            </w:rPr>
            <w:t>选择一项。</w:t>
          </w:r>
        </w:p>
      </w:docPartBody>
    </w:docPart>
    <w:docPart>
      <w:docPartPr>
        <w:name w:val="{f7802b54-eb0c-41d4-b24a-2eb7cedafe79}"/>
        <w:style w:val=""/>
        <w:category>
          <w:name w:val="常规"/>
          <w:gallery w:val="placeholder"/>
        </w:category>
        <w:types>
          <w:type w:val="bbPlcHdr"/>
        </w:types>
        <w:behaviors>
          <w:behavior w:val="content"/>
        </w:behaviors>
        <w:description w:val=""/>
        <w:guid w:val="{f7802b54-eb0c-41d4-b24a-2eb7cedafe79}"/>
      </w:docPartPr>
      <w:docPartBody>
        <w:p w14:paraId="62D50C1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5052</Words>
  <Characters>5580</Characters>
  <Lines>0</Lines>
  <Paragraphs>0</Paragraphs>
  <TotalTime>0</TotalTime>
  <ScaleCrop>false</ScaleCrop>
  <LinksUpToDate>false</LinksUpToDate>
  <CharactersWithSpaces>5739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字国林</cp:lastModifiedBy>
  <cp:lastPrinted>2025-01-02T02:01:00Z</cp:lastPrinted>
  <dcterms:modified xsi:type="dcterms:W3CDTF">2025-01-20T08:01:59Z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CA95E29D8DCA4DF29628EDC4F69A3C05_13</vt:lpwstr>
  </property>
  <property fmtid="{D5CDD505-2E9C-101B-9397-08002B2CF9AE}" pid="4" name="KSOTemplateDocerSaveRecord">
    <vt:lpwstr>eyJoZGlkIjoiMTU4YWE1ZWZkMWZjNWNjNmVhMTYxNmRmMjBkNzFjMDEiLCJ1c2VySWQiOiIxMTQyODgzNzIyIn0=</vt:lpwstr>
  </property>
</Properties>
</file>