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临沧市人民政府关于印发临沧市城乡居民</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家庭经济状况核对办法的通知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临政发〔2016〕118号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《临沧市城乡居民家庭经济状况核对办法》已经市人民政府同意，现印发给你们，请认真贯彻执行。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2016年8月6日   </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临沧市城乡居民家庭经济状况核对办法</w:t>
      </w:r>
    </w:p>
    <w:p>
      <w:pPr>
        <w:spacing w:line="560" w:lineRule="exact"/>
        <w:jc w:val="center"/>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为规范我市城乡居民家庭经济状况核对工作，确保社会救助实施的准确性、科学性和公正性，依据《社会救助暂行办法》、《云南省社会救助实施办法》和《云南省城乡居民家庭经济状况核对办法》有关规定，结合临沧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适用于政府相关部门在实施社会救助时，对提出申请或者已享受社会救助（最低生活保障、受灾人员救助、特困人员供养、教育救助、住房救助、就业救助、医疗救助、临时救助）保障的居民家庭或者个人对其经济状况开展调查、核实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核对工作坚持以下原则: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（一）依委托、授权核对原则；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（二）依法、客观和公正原则；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（三）保密原则。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级核对机构负责本行政区域内居民家庭经济状况核对的管理工作。县（区）级和乡镇人民政府（街道办事处）核对机构负责本行政区域内居民家庭经济状况核对的具体工作。村（居）民委员会受乡镇人民政府（街道办事处）的委托，应当协助做好本行政区域内居民家庭经济状况核对的日常服务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乡镇（街道）居民家庭经济状况核对机构（以下简称核对机构）受政府有关部门委托和居民家庭或个人的授权，按照各自权限，通过网络平台或人工比对等方式，运用政府有关部门提供的信息数据，对居民家庭经济状况进行核对，核对结果以书面形式反馈委托部门，作为社会救助受理、审批机关作出审批决定的重要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县级核对机构负责本行政区域内居民家庭经济状况核对工作，市级核对机构负责跨市、县（区）的核对工作。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县（区）、乡镇（街道）应当加强居民家庭经济状况核对工作的组织领导，配备、落实必要的人员、经费，建立跨部门、多层次、信息共享的居民家庭经济状况核对机制，搭建信息核对平台，实现信息化管理和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核对对象、家庭收入及财产核查工作内容和范围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居民家庭经济状况核对对象（以下简称核对对象）为共同生活的家庭成员。主要包括：户主、配偶、父母、未成年子女、已成年但不能独立生活的子女（含在校接受本科及以下学历教育的成年子女）以及其他具有法定赡养、扶养、抚养义务关系并长期共同居住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监狱服刑人员、连续3年以上（含3年）脱离家庭独立生活的宗教教职人员不计入共同生活的家庭成员。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核查内容包括家庭可支配收入和财产状况以及家庭生产生活支出。可支配收入是指居民家庭在提起申请前至少连续6个月内的工资性收入、经营性净收入、财产性净收入、转移性净收入等。财产是指家庭拥有的实物财产、货币财产，包括家庭成员拥有的全部存款、房产、车辆、有价证券等。具体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工资性收入可通过调查就业和劳动报酬、各种福利收入以及社会保险费、住房公积金、个人所得税缴纳等情况核查；外出务工人员按务工实际收入核查，无法获取证明的可按外出务工地最低工资标准进行测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经营性净收入通过调查工商登记的企业或者个体工商户的生产经营情况，以及所得税的缴纳等情况核查；农业生产经营净收入可通过从事农业、林业、养殖业及副业生产的全部经营收入中扣除经营费用、生产性固定资产折旧和相关税费后得到的净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（三）财产性净收入可通过调查利息、股息与分红、出租房屋收入、转让承包土地经营权租金、知识产权收益等情况核查。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（四）转移性净收入可通过调查养老金、失业保险金、社会救济金、住房公积金领取，以及获得的赠与、补偿、赔偿等情况核查。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（五）实物性财产可通过调查房产、车辆等有较大价值实物拥有等情况核查。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（六）货币财产通过调查存款、有价证券持有以及债权债务等情况核查。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家庭成员中从事种植业、养殖业的按《临沧市居民家庭经济</w:t>
      </w:r>
      <w:r>
        <w:rPr>
          <w:rFonts w:hint="eastAsia" w:ascii="仿宋_GB2312" w:hAnsi="仿宋_GB2312" w:eastAsia="仿宋_GB2312" w:cs="仿宋_GB2312"/>
          <w:i w:val="0"/>
          <w:caps w:val="0"/>
          <w:color w:val="333333"/>
          <w:spacing w:val="-6"/>
          <w:sz w:val="32"/>
          <w:szCs w:val="32"/>
          <w:shd w:val="clear" w:fill="FFFFFF"/>
          <w:lang w:val="en-US" w:eastAsia="zh-CN"/>
        </w:rPr>
        <w:t>状况核对主要农作物产量和养殖业收入参考数据》计算。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财产租赁收入，按家庭房屋出租、转让的所有收入据实测算。不提供收入的依据物价、房产部门制定的出租、出售标准计算。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赡（抚、扶）养费的计算：按法院判决或者双方达成的协议、约定计算收入。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房产及存款的核定标准：拥有砖混结构主房150m2以下（农村人口在城市自行够买房屋的除外）且家庭人均存款1万元以下的。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核对申请人生产、生活、就医、就学主要支出。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不应当计入家庭收入的项目包括：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（一）优抚对象按照规定享受的抚恤金、优待金、补助金及护理费、军队复退转补助费、异地安置安家费；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（二）政府颁发的特殊贡献人员奖励金，见义勇为奖励金、市级以上劳动模范享受的荣誉津贴；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（三）政府和社会给予贫困在校生的救助金、生活补贴和在校生勤工俭学收入、奖学金及助学贷款；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（四）因工（公）负伤和意外伤害的医疗费、误工费、营养费、护理费及死亡人员的丧葬费和一次性抚恤金；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（五）计划生育奖励扶助金，孤儿基本生活费；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（六）从业人员按照规定由所在单位代扣代缴和个人自缴的住房公积金以及各项社会保险费；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（七）重度残疾人在达到领取城乡居民基本养老金年龄之前领取的重残养老补助以及参加被征地农民基本养老保障的居民领取的基本养老保障金；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（八）政府、社会或个人给予的临时性生活救助金；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（九）新农村建设补助资金；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（十）水库移民后期扶持资金；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（十一）80岁以上老人的健康补助和100岁以上高龄补贴；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有下列情形之一的，其提出的最低生活保障家庭核算申请不予受理，由社会救助管理机构中止其救助申请：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（一）拒绝配合家庭调查或隐瞒家庭真实收入（包括非稳定性隐蔽收入），未按规定提供有关证明或提供虚假证明的；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（二）家庭有劳动能力，但承包田地撂荒的；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（三）多次教育引导拒不参加社区、村组公益性劳动的；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（四）共同生活的家庭成员拥有轿车、客货车辆（不含小型拖拉机）的；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（五）共同生活的家庭成员在国外或港、澳、台地区自费就读，以及选择高收费私立学校就读的；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（六）在经营活动中长期使用雇工的。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核对工作的方式、程序、管理及监督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核对工作一般采取以下方式: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（一）网络信息核对。通过网络核对信息平台对核对对象收入和财产信息进行核对；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（二）离线信息核对。对部门间暂不具备建立信息网络条件的，采用加密离线信息传输方式，对核对对象收入和财产信息进行核对；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（三）实地调查核对。对无法采取网络和离线方式核对的，由乡镇人民政府（街道办事处）采取入户调查、邻里访问、信函索证等方式，对核对对象收入和财产信息进行核对；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（四）其他必要的核对方式。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核对工作程序：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（一）居民家庭申请社会救助项目时，由户主向其所在地乡镇（街道）人民政府 “一门受理”窗口提出书面申请，并提供家庭经济收入及财产状况的相关证明材料，并签署诚信承诺书方式承诺所提供材料的真实性，同时出具对其进行家庭经济状况核对的授权书；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（二）“一门受理”窗口收到居民家庭的申请后，应当进行基本条件审核，再将基本条件符合申请标准的家庭申请材料报送有关社会救助主管部门；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于需要进行家庭经济状况核对的申请家庭，有关社会救助主管部门（以下称委托部门）应当将其所有申请材料（包括申请书、证明材料、核对授权委托书）报送核对机构，开展居民家庭经济状况核对工作，并在20个工作日内完成核对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（四）核对机构完成核对工作后，应当形成核对报告，反馈委</w:t>
      </w:r>
      <w:r>
        <w:rPr>
          <w:rFonts w:hint="eastAsia" w:ascii="仿宋_GB2312" w:hAnsi="仿宋_GB2312" w:eastAsia="仿宋_GB2312" w:cs="仿宋_GB2312"/>
          <w:i w:val="0"/>
          <w:caps w:val="0"/>
          <w:color w:val="333333"/>
          <w:spacing w:val="-6"/>
          <w:sz w:val="32"/>
          <w:szCs w:val="32"/>
          <w:shd w:val="clear" w:fill="FFFFFF"/>
          <w:lang w:val="en-US" w:eastAsia="zh-CN"/>
        </w:rPr>
        <w:t>托部门，核对结果作为政府有关部门作出审批决定的重要依据。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家庭收入核算中，除全面核查货币收入和实物收入外，还要重点收集家庭劳动力、重病重残、大额负债、重大灾情和子女上大学等影响家庭生产生活的情况。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申请家庭对收入核算结果有异议的，可以向辖区内的社会救助管理机构申请复核。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享受社会救助的家庭应当按年度向所在地的乡（镇、街道）或者村（居）民委员会如实申报家庭人口及收入变动情况。乡（镇、街道）应当对申报情况进行核实，并将申报及核实情况报县（区）民政局。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县（区）民政局应当按户建立家庭收入审核档案，及时将家庭人口及收入变动情况登记归档，并根据变动情况结合救助需求对其重新进行家庭收入核算，实行动态管理。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政府有关部门应当向核对机构提供以下与核对对象家庭经济状况有关的信息：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（一）民政部门负责提供社会救助、优待抚恤、婚姻登记状况、殡葬、社会团体、民办非企业单位、基金会登记及有关就业等情况；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（二）人力资源社会保障部门负责提供就业、缴纳社会保险费和享受社会保险待遇等有关情况；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caps w:val="0"/>
          <w:color w:val="333333"/>
          <w:spacing w:val="0"/>
          <w:sz w:val="32"/>
          <w:szCs w:val="32"/>
          <w:shd w:val="clear" w:fill="FFFFFF"/>
          <w:lang w:val="en-US" w:eastAsia="zh-CN"/>
        </w:rPr>
        <w:instrText xml:space="preserve">HYPERLINK "http://news.9ask.cn/ldjf/laodongzhishi/zhufanggongjiji/"</w:instrText>
      </w:r>
      <w:r>
        <w:rPr>
          <w:rFonts w:hint="eastAsia" w:ascii="仿宋_GB2312" w:hAnsi="仿宋_GB2312" w:eastAsia="仿宋_GB2312" w:cs="仿宋_GB2312"/>
          <w:i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caps w:val="0"/>
          <w:color w:val="333333"/>
          <w:spacing w:val="0"/>
          <w:sz w:val="32"/>
          <w:szCs w:val="32"/>
          <w:shd w:val="clear" w:fill="FFFFFF"/>
          <w:lang w:val="en-US" w:eastAsia="zh-CN"/>
        </w:rPr>
        <w:t>住房公积金</w:t>
      </w:r>
      <w:r>
        <w:rPr>
          <w:rFonts w:hint="eastAsia" w:ascii="仿宋_GB2312" w:hAnsi="仿宋_GB2312" w:eastAsia="仿宋_GB2312" w:cs="仿宋_GB2312"/>
          <w:i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caps w:val="0"/>
          <w:color w:val="333333"/>
          <w:spacing w:val="0"/>
          <w:sz w:val="32"/>
          <w:szCs w:val="32"/>
          <w:shd w:val="clear" w:fill="FFFFFF"/>
          <w:lang w:val="en-US" w:eastAsia="zh-CN"/>
        </w:rPr>
        <w:t>管理部门负责提供</w:t>
      </w:r>
      <w:r>
        <w:rPr>
          <w:rFonts w:hint="eastAsia" w:ascii="仿宋_GB2312" w:hAnsi="仿宋_GB2312" w:eastAsia="仿宋_GB2312" w:cs="仿宋_GB2312"/>
          <w:i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caps w:val="0"/>
          <w:color w:val="333333"/>
          <w:spacing w:val="0"/>
          <w:sz w:val="32"/>
          <w:szCs w:val="32"/>
          <w:shd w:val="clear" w:fill="FFFFFF"/>
          <w:lang w:val="en-US" w:eastAsia="zh-CN"/>
        </w:rPr>
        <w:instrText xml:space="preserve">HYPERLINK "http://news.9ask.cn/ldjf/laodongzhishi/zhufanggongjiji/"</w:instrText>
      </w:r>
      <w:r>
        <w:rPr>
          <w:rFonts w:hint="eastAsia" w:ascii="仿宋_GB2312" w:hAnsi="仿宋_GB2312" w:eastAsia="仿宋_GB2312" w:cs="仿宋_GB2312"/>
          <w:i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caps w:val="0"/>
          <w:color w:val="333333"/>
          <w:spacing w:val="0"/>
          <w:sz w:val="32"/>
          <w:szCs w:val="32"/>
          <w:shd w:val="clear" w:fill="FFFFFF"/>
          <w:lang w:val="en-US" w:eastAsia="zh-CN"/>
        </w:rPr>
        <w:t>住房公积金</w:t>
      </w:r>
      <w:r>
        <w:rPr>
          <w:rFonts w:hint="eastAsia" w:ascii="仿宋_GB2312" w:hAnsi="仿宋_GB2312" w:eastAsia="仿宋_GB2312" w:cs="仿宋_GB2312"/>
          <w:i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caps w:val="0"/>
          <w:color w:val="333333"/>
          <w:spacing w:val="0"/>
          <w:sz w:val="32"/>
          <w:szCs w:val="32"/>
          <w:shd w:val="clear" w:fill="FFFFFF"/>
          <w:lang w:val="en-US" w:eastAsia="zh-CN"/>
        </w:rPr>
        <w:t>缴纳和使用等情况；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（四）工商行政管理部门负责提供企业和个体工商户的注册登记、监督管理等情况；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（五）税务部门负责提供个人、个体工商户的纳税等情况；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（六）国土资源、住房城乡建设部门负责提供房地产交易、登记和房屋出租，以及保障性住房租购等情况；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（七）公安机关负责提供户籍、机动车登记和出入境等情况；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（八）其他有关部门应根据核对机构工作需求和委托协议提供有关信息。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核对机构根据申请救助家庭的救助申请和其家庭成员的委托授权，可以通过银行、保险、证券等金融机构代为查询、核对其家庭收入状况、财产状况，有关金融机构应予以配合。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社会救助申请家庭不如实提供相关情况，隐瞒收入和财产，骗取社会救助的，由社会救助审批机关按照有关政策规定作出处罚，取消其资格，并退回相应的救助资金，并记入诚信体系；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核对机构工作人员玩忽职守、滥用职权、徇私舞弊造成严重后果的，按照有关规定给予行政处分；构成犯罪的，依法移送司法机关处理。妨碍核对机构人员执行公务的，由公安机关依法处理。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国家机关、企事业单位、社会团体、村（居）民委员会以及其他社会组织，不如实提供核对对象有关情况，或者出具虚假证明的，由市（县）级民政部门提交有关部门依照法律法规和有关规定处理，并根据人民银行及有关部门规定，记入诚信体系；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从事核对工作的人员应当遵循直系亲属回避制度，对在核对过程中获得的涉及核对对象的信息予以保密，不得向与核对工作无关的组织或者个人泄露。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市</w:t>
      </w:r>
      <w:r>
        <w:rPr>
          <w:rFonts w:hint="eastAsia" w:ascii="仿宋_GB2312" w:hAnsi="仿宋_GB2312" w:eastAsia="仿宋_GB2312" w:cs="仿宋_GB2312"/>
          <w:i w:val="0"/>
          <w:caps w:val="0"/>
          <w:color w:val="333333"/>
          <w:spacing w:val="6"/>
          <w:sz w:val="32"/>
          <w:szCs w:val="32"/>
          <w:shd w:val="clear" w:fill="FFFFFF"/>
          <w:lang w:val="en-US" w:eastAsia="zh-CN"/>
        </w:rPr>
        <w:t>、县（区）社会救助管理部门设立举报电话，接受社会的监督，确保全市居民家庭经济状况核对工作的真实性。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本办法自印发之日起施行。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附件：1．临沧市城乡居民家庭经济状况核对授权委托书</w:t>
      </w:r>
    </w:p>
    <w:p>
      <w:pPr>
        <w:keepNext w:val="0"/>
        <w:keepLines w:val="0"/>
        <w:pageBreakBefore w:val="0"/>
        <w:widowControl w:val="0"/>
        <w:kinsoku/>
        <w:wordWrap/>
        <w:overflowPunct/>
        <w:topLinePunct w:val="0"/>
        <w:autoSpaceDE/>
        <w:autoSpaceDN/>
        <w:bidi w:val="0"/>
        <w:adjustRightInd/>
        <w:snapToGrid/>
        <w:spacing w:line="576" w:lineRule="exact"/>
        <w:ind w:left="2076" w:leftChars="760" w:hanging="480" w:hangingChars="15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2．临沧市城乡居民家庭经济状况核对申报、审核、审批表</w:t>
      </w:r>
    </w:p>
    <w:p>
      <w:pPr>
        <w:keepNext w:val="0"/>
        <w:keepLines w:val="0"/>
        <w:pageBreakBefore w:val="0"/>
        <w:widowControl w:val="0"/>
        <w:kinsoku/>
        <w:wordWrap/>
        <w:overflowPunct/>
        <w:topLinePunct w:val="0"/>
        <w:autoSpaceDE/>
        <w:autoSpaceDN/>
        <w:bidi w:val="0"/>
        <w:adjustRightInd/>
        <w:snapToGrid/>
        <w:spacing w:line="576" w:lineRule="exact"/>
        <w:ind w:left="2076" w:leftChars="760" w:hanging="480" w:hangingChars="15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3．临沧市城乡居民家庭经济状况核对主要农作物和养殖业产值及纯收入参考数据</w:t>
      </w:r>
    </w:p>
    <w:p>
      <w:pPr>
        <w:spacing w:line="600" w:lineRule="exact"/>
        <w:jc w:val="right"/>
        <w:rPr>
          <w:rFonts w:hint="eastAsia" w:ascii="仿宋_GB2312" w:hAnsi="仿宋_GB2312" w:eastAsia="仿宋_GB2312" w:cs="仿宋_GB2312"/>
          <w:b w:val="0"/>
          <w:bCs/>
          <w:sz w:val="32"/>
          <w:szCs w:val="32"/>
        </w:rPr>
      </w:pPr>
    </w:p>
    <w:p>
      <w:pPr>
        <w:spacing w:line="600" w:lineRule="exact"/>
        <w:jc w:val="right"/>
        <w:rPr>
          <w:rFonts w:hint="eastAsia" w:ascii="仿宋_GB2312" w:hAnsi="仿宋_GB2312" w:eastAsia="仿宋_GB2312" w:cs="仿宋_GB2312"/>
          <w:b w:val="0"/>
          <w:bCs/>
          <w:sz w:val="32"/>
          <w:szCs w:val="32"/>
        </w:rPr>
      </w:pPr>
    </w:p>
    <w:p>
      <w:pPr>
        <w:spacing w:line="600" w:lineRule="exact"/>
        <w:jc w:val="right"/>
        <w:rPr>
          <w:rFonts w:hint="eastAsia" w:ascii="仿宋_GB2312" w:hAnsi="仿宋_GB2312" w:eastAsia="仿宋_GB2312" w:cs="仿宋_GB2312"/>
          <w:b w:val="0"/>
          <w:bCs/>
          <w:sz w:val="32"/>
          <w:szCs w:val="32"/>
        </w:rPr>
      </w:pPr>
    </w:p>
    <w:p>
      <w:pPr>
        <w:spacing w:line="600" w:lineRule="exact"/>
        <w:jc w:val="right"/>
        <w:rPr>
          <w:rFonts w:hint="eastAsia" w:ascii="仿宋_GB2312" w:hAnsi="仿宋_GB2312" w:eastAsia="仿宋_GB2312" w:cs="仿宋_GB2312"/>
          <w:b w:val="0"/>
          <w:bCs/>
          <w:sz w:val="32"/>
          <w:szCs w:val="32"/>
        </w:rPr>
      </w:pPr>
    </w:p>
    <w:p>
      <w:pPr>
        <w:spacing w:line="600" w:lineRule="exact"/>
        <w:jc w:val="right"/>
        <w:rPr>
          <w:rFonts w:hint="eastAsia" w:ascii="仿宋_GB2312" w:hAnsi="仿宋_GB2312" w:eastAsia="仿宋_GB2312" w:cs="仿宋_GB2312"/>
          <w:b w:val="0"/>
          <w:bCs/>
          <w:sz w:val="32"/>
          <w:szCs w:val="32"/>
        </w:rPr>
      </w:pPr>
    </w:p>
    <w:p>
      <w:pPr>
        <w:spacing w:line="600" w:lineRule="exact"/>
        <w:jc w:val="right"/>
        <w:rPr>
          <w:rFonts w:hint="eastAsia" w:ascii="仿宋_GB2312" w:hAnsi="仿宋_GB2312" w:eastAsia="仿宋_GB2312" w:cs="仿宋_GB2312"/>
          <w:b w:val="0"/>
          <w:bCs/>
          <w:sz w:val="32"/>
          <w:szCs w:val="32"/>
        </w:rPr>
      </w:pPr>
    </w:p>
    <w:p>
      <w:pPr>
        <w:spacing w:line="600" w:lineRule="exact"/>
        <w:jc w:val="right"/>
        <w:rPr>
          <w:rFonts w:hint="eastAsia" w:ascii="仿宋_GB2312" w:hAnsi="仿宋_GB2312" w:eastAsia="仿宋_GB2312" w:cs="仿宋_GB2312"/>
          <w:b w:val="0"/>
          <w:bCs/>
          <w:sz w:val="32"/>
          <w:szCs w:val="32"/>
        </w:rPr>
      </w:pPr>
    </w:p>
    <w:p>
      <w:pPr>
        <w:spacing w:line="600" w:lineRule="exact"/>
        <w:jc w:val="right"/>
        <w:rPr>
          <w:rFonts w:hint="eastAsia" w:ascii="仿宋_GB2312" w:hAnsi="仿宋_GB2312" w:eastAsia="仿宋_GB2312" w:cs="仿宋_GB2312"/>
          <w:b w:val="0"/>
          <w:bCs/>
          <w:sz w:val="32"/>
          <w:szCs w:val="32"/>
        </w:rPr>
      </w:pPr>
    </w:p>
    <w:p>
      <w:pPr>
        <w:spacing w:line="600" w:lineRule="exact"/>
        <w:jc w:val="right"/>
        <w:rPr>
          <w:rFonts w:hint="eastAsia" w:ascii="仿宋_GB2312" w:hAnsi="仿宋_GB2312" w:eastAsia="仿宋_GB2312" w:cs="仿宋_GB2312"/>
          <w:b w:val="0"/>
          <w:bCs/>
          <w:sz w:val="32"/>
          <w:szCs w:val="32"/>
        </w:rPr>
      </w:pPr>
    </w:p>
    <w:p>
      <w:pPr>
        <w:spacing w:line="600" w:lineRule="exact"/>
        <w:jc w:val="right"/>
        <w:rPr>
          <w:rFonts w:hint="eastAsia" w:ascii="仿宋_GB2312" w:hAnsi="仿宋_GB2312" w:eastAsia="仿宋_GB2312" w:cs="仿宋_GB2312"/>
          <w:b w:val="0"/>
          <w:bCs/>
          <w:sz w:val="32"/>
          <w:szCs w:val="32"/>
        </w:rPr>
      </w:pP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附件1</w:t>
      </w:r>
    </w:p>
    <w:p>
      <w:pPr>
        <w:spacing w:line="600" w:lineRule="exact"/>
        <w:jc w:val="center"/>
        <w:rPr>
          <w:rFonts w:hint="eastAsia" w:ascii="方正小标宋简体" w:hAnsi="方正小标宋简体" w:eastAsia="方正小标宋简体" w:cs="方正小标宋简体"/>
          <w:b w:val="0"/>
          <w:bCs/>
          <w:w w:val="90"/>
          <w:sz w:val="44"/>
          <w:szCs w:val="44"/>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临沧市城乡居民家庭经济状况核对授权委托书</w:t>
      </w:r>
    </w:p>
    <w:p>
      <w:pPr>
        <w:spacing w:line="600" w:lineRule="exact"/>
        <w:jc w:val="right"/>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因本人向社会救助管理部门提出          救助申请，为全面核准本人及家庭成员的收入和财产状况，现授权        县（区）         乡（镇）城乡居民家庭经济状况核对中心向相关部门和机构查询核对授权人及家庭成员的收入和房产、车辆、存款等财产信息，请相关部门和机构予以提供。</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授权人: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（申请人）（签字手印）</w:t>
            </w:r>
          </w:p>
        </w:tc>
        <w:tc>
          <w:tcPr>
            <w:tcW w:w="4707"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身份证号：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家庭成员：</w:t>
            </w:r>
          </w:p>
        </w:tc>
        <w:tc>
          <w:tcPr>
            <w:tcW w:w="4707"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家庭成员：</w:t>
            </w:r>
          </w:p>
        </w:tc>
        <w:tc>
          <w:tcPr>
            <w:tcW w:w="4707"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家庭成员：</w:t>
            </w:r>
          </w:p>
        </w:tc>
        <w:tc>
          <w:tcPr>
            <w:tcW w:w="4707"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家庭成员：</w:t>
            </w:r>
          </w:p>
        </w:tc>
        <w:tc>
          <w:tcPr>
            <w:tcW w:w="4707"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身份证号：</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委托期限自授权人签字之日至终止救助为止。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附件：授权人家庭户口本及身份证复印件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年   月    日  </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临沧市城乡居民家庭经济状况核对申报、审核、审批表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县（区）      乡（镇、街道）    村（居）委会     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单位：元、公斤、m2、人、亩</w:t>
      </w:r>
    </w:p>
    <w:tbl>
      <w:tblPr>
        <w:tblStyle w:val="7"/>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00"/>
        <w:gridCol w:w="1540"/>
        <w:gridCol w:w="1360"/>
        <w:gridCol w:w="2859"/>
        <w:gridCol w:w="1460"/>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1940" w:type="dxa"/>
            <w:gridSpan w:val="2"/>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户主及家庭成员姓名</w:t>
            </w: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性别</w:t>
            </w:r>
          </w:p>
        </w:tc>
        <w:tc>
          <w:tcPr>
            <w:tcW w:w="2859"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身份证号</w:t>
            </w:r>
          </w:p>
        </w:tc>
        <w:tc>
          <w:tcPr>
            <w:tcW w:w="14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身体状况</w:t>
            </w:r>
          </w:p>
        </w:tc>
        <w:tc>
          <w:tcPr>
            <w:tcW w:w="1872"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是否属城乡低保对象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1940" w:type="dxa"/>
            <w:gridSpan w:val="2"/>
            <w:noWrap w:val="0"/>
            <w:vAlign w:val="center"/>
          </w:tcPr>
          <w:p>
            <w:pPr>
              <w:widowControl/>
              <w:jc w:val="center"/>
              <w:rPr>
                <w:rFonts w:hint="eastAsia" w:ascii="仿宋_GB2312" w:hAnsi="仿宋_GB2312" w:eastAsia="仿宋_GB2312" w:cs="仿宋_GB2312"/>
                <w:b w:val="0"/>
                <w:bCs/>
                <w:kern w:val="0"/>
                <w:sz w:val="20"/>
                <w:szCs w:val="20"/>
              </w:rPr>
            </w:pP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p>
        </w:tc>
        <w:tc>
          <w:tcPr>
            <w:tcW w:w="2859" w:type="dxa"/>
            <w:noWrap w:val="0"/>
            <w:vAlign w:val="center"/>
          </w:tcPr>
          <w:p>
            <w:pPr>
              <w:widowControl/>
              <w:jc w:val="center"/>
              <w:rPr>
                <w:rFonts w:hint="eastAsia" w:ascii="仿宋_GB2312" w:hAnsi="仿宋_GB2312" w:eastAsia="仿宋_GB2312" w:cs="仿宋_GB2312"/>
                <w:b w:val="0"/>
                <w:bCs/>
                <w:kern w:val="0"/>
                <w:sz w:val="20"/>
                <w:szCs w:val="20"/>
              </w:rPr>
            </w:pPr>
          </w:p>
        </w:tc>
        <w:tc>
          <w:tcPr>
            <w:tcW w:w="1460" w:type="dxa"/>
            <w:noWrap w:val="0"/>
            <w:vAlign w:val="center"/>
          </w:tcPr>
          <w:p>
            <w:pPr>
              <w:widowControl/>
              <w:jc w:val="left"/>
              <w:rPr>
                <w:rFonts w:hint="eastAsia" w:ascii="仿宋_GB2312" w:hAnsi="仿宋_GB2312" w:eastAsia="仿宋_GB2312" w:cs="仿宋_GB2312"/>
                <w:b w:val="0"/>
                <w:bCs/>
                <w:kern w:val="0"/>
                <w:sz w:val="20"/>
                <w:szCs w:val="20"/>
              </w:rPr>
            </w:pPr>
          </w:p>
        </w:tc>
        <w:tc>
          <w:tcPr>
            <w:tcW w:w="1872" w:type="dxa"/>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1940" w:type="dxa"/>
            <w:gridSpan w:val="2"/>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 xml:space="preserve"> </w:t>
            </w: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p>
        </w:tc>
        <w:tc>
          <w:tcPr>
            <w:tcW w:w="2859" w:type="dxa"/>
            <w:noWrap w:val="0"/>
            <w:vAlign w:val="center"/>
          </w:tcPr>
          <w:p>
            <w:pPr>
              <w:widowControl/>
              <w:jc w:val="center"/>
              <w:rPr>
                <w:rFonts w:hint="eastAsia" w:ascii="仿宋_GB2312" w:hAnsi="仿宋_GB2312" w:eastAsia="仿宋_GB2312" w:cs="仿宋_GB2312"/>
                <w:b w:val="0"/>
                <w:bCs/>
                <w:kern w:val="0"/>
                <w:sz w:val="20"/>
                <w:szCs w:val="20"/>
              </w:rPr>
            </w:pPr>
          </w:p>
        </w:tc>
        <w:tc>
          <w:tcPr>
            <w:tcW w:w="1460" w:type="dxa"/>
            <w:noWrap w:val="0"/>
            <w:vAlign w:val="center"/>
          </w:tcPr>
          <w:p>
            <w:pPr>
              <w:widowControl/>
              <w:jc w:val="left"/>
              <w:rPr>
                <w:rFonts w:hint="eastAsia" w:ascii="仿宋_GB2312" w:hAnsi="仿宋_GB2312" w:eastAsia="仿宋_GB2312" w:cs="仿宋_GB2312"/>
                <w:b w:val="0"/>
                <w:bCs/>
                <w:kern w:val="0"/>
                <w:sz w:val="20"/>
                <w:szCs w:val="20"/>
              </w:rPr>
            </w:pPr>
          </w:p>
        </w:tc>
        <w:tc>
          <w:tcPr>
            <w:tcW w:w="1872" w:type="dxa"/>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1940" w:type="dxa"/>
            <w:gridSpan w:val="2"/>
            <w:noWrap w:val="0"/>
            <w:vAlign w:val="center"/>
          </w:tcPr>
          <w:p>
            <w:pPr>
              <w:widowControl/>
              <w:jc w:val="center"/>
              <w:rPr>
                <w:rFonts w:hint="eastAsia" w:ascii="仿宋_GB2312" w:hAnsi="仿宋_GB2312" w:eastAsia="仿宋_GB2312" w:cs="仿宋_GB2312"/>
                <w:b w:val="0"/>
                <w:bCs/>
                <w:kern w:val="0"/>
                <w:sz w:val="20"/>
                <w:szCs w:val="20"/>
              </w:rPr>
            </w:pP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p>
        </w:tc>
        <w:tc>
          <w:tcPr>
            <w:tcW w:w="2859" w:type="dxa"/>
            <w:noWrap w:val="0"/>
            <w:vAlign w:val="center"/>
          </w:tcPr>
          <w:p>
            <w:pPr>
              <w:widowControl/>
              <w:jc w:val="center"/>
              <w:rPr>
                <w:rFonts w:hint="eastAsia" w:ascii="仿宋_GB2312" w:hAnsi="仿宋_GB2312" w:eastAsia="仿宋_GB2312" w:cs="仿宋_GB2312"/>
                <w:b w:val="0"/>
                <w:bCs/>
                <w:kern w:val="0"/>
                <w:sz w:val="20"/>
                <w:szCs w:val="20"/>
              </w:rPr>
            </w:pPr>
          </w:p>
        </w:tc>
        <w:tc>
          <w:tcPr>
            <w:tcW w:w="1460" w:type="dxa"/>
            <w:noWrap w:val="0"/>
            <w:vAlign w:val="center"/>
          </w:tcPr>
          <w:p>
            <w:pPr>
              <w:widowControl/>
              <w:jc w:val="left"/>
              <w:rPr>
                <w:rFonts w:hint="eastAsia" w:ascii="仿宋_GB2312" w:hAnsi="仿宋_GB2312" w:eastAsia="仿宋_GB2312" w:cs="仿宋_GB2312"/>
                <w:b w:val="0"/>
                <w:bCs/>
                <w:kern w:val="0"/>
                <w:sz w:val="20"/>
                <w:szCs w:val="20"/>
              </w:rPr>
            </w:pPr>
          </w:p>
        </w:tc>
        <w:tc>
          <w:tcPr>
            <w:tcW w:w="1872" w:type="dxa"/>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1940" w:type="dxa"/>
            <w:gridSpan w:val="2"/>
            <w:noWrap w:val="0"/>
            <w:vAlign w:val="center"/>
          </w:tcPr>
          <w:p>
            <w:pPr>
              <w:widowControl/>
              <w:jc w:val="center"/>
              <w:rPr>
                <w:rFonts w:hint="eastAsia" w:ascii="仿宋_GB2312" w:hAnsi="仿宋_GB2312" w:eastAsia="仿宋_GB2312" w:cs="仿宋_GB2312"/>
                <w:b w:val="0"/>
                <w:bCs/>
                <w:kern w:val="0"/>
                <w:sz w:val="20"/>
                <w:szCs w:val="20"/>
              </w:rPr>
            </w:pP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p>
        </w:tc>
        <w:tc>
          <w:tcPr>
            <w:tcW w:w="2859" w:type="dxa"/>
            <w:noWrap w:val="0"/>
            <w:vAlign w:val="center"/>
          </w:tcPr>
          <w:p>
            <w:pPr>
              <w:widowControl/>
              <w:jc w:val="center"/>
              <w:rPr>
                <w:rFonts w:hint="eastAsia" w:ascii="仿宋_GB2312" w:hAnsi="仿宋_GB2312" w:eastAsia="仿宋_GB2312" w:cs="仿宋_GB2312"/>
                <w:b w:val="0"/>
                <w:bCs/>
                <w:kern w:val="0"/>
                <w:sz w:val="20"/>
                <w:szCs w:val="20"/>
              </w:rPr>
            </w:pPr>
          </w:p>
        </w:tc>
        <w:tc>
          <w:tcPr>
            <w:tcW w:w="1460" w:type="dxa"/>
            <w:noWrap w:val="0"/>
            <w:vAlign w:val="center"/>
          </w:tcPr>
          <w:p>
            <w:pPr>
              <w:widowControl/>
              <w:jc w:val="left"/>
              <w:rPr>
                <w:rFonts w:hint="eastAsia" w:ascii="仿宋_GB2312" w:hAnsi="仿宋_GB2312" w:eastAsia="仿宋_GB2312" w:cs="仿宋_GB2312"/>
                <w:b w:val="0"/>
                <w:bCs/>
                <w:kern w:val="0"/>
                <w:sz w:val="20"/>
                <w:szCs w:val="20"/>
              </w:rPr>
            </w:pPr>
          </w:p>
        </w:tc>
        <w:tc>
          <w:tcPr>
            <w:tcW w:w="1872" w:type="dxa"/>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6" w:hRule="atLeast"/>
          <w:jc w:val="center"/>
        </w:trPr>
        <w:tc>
          <w:tcPr>
            <w:tcW w:w="1940" w:type="dxa"/>
            <w:gridSpan w:val="2"/>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联系电话</w:t>
            </w:r>
          </w:p>
        </w:tc>
        <w:tc>
          <w:tcPr>
            <w:tcW w:w="7551" w:type="dxa"/>
            <w:gridSpan w:val="4"/>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0" w:hRule="atLeast"/>
          <w:jc w:val="center"/>
        </w:trPr>
        <w:tc>
          <w:tcPr>
            <w:tcW w:w="1940" w:type="dxa"/>
            <w:gridSpan w:val="2"/>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核对机构核对情况</w:t>
            </w:r>
          </w:p>
        </w:tc>
        <w:tc>
          <w:tcPr>
            <w:tcW w:w="7551" w:type="dxa"/>
            <w:gridSpan w:val="4"/>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8" w:hRule="atLeast"/>
          <w:jc w:val="center"/>
        </w:trPr>
        <w:tc>
          <w:tcPr>
            <w:tcW w:w="9491" w:type="dxa"/>
            <w:gridSpan w:val="6"/>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一、财产状况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940" w:type="dxa"/>
            <w:gridSpan w:val="2"/>
            <w:vMerge w:val="restart"/>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实物性财产</w:t>
            </w: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房屋</w:t>
            </w:r>
          </w:p>
        </w:tc>
        <w:tc>
          <w:tcPr>
            <w:tcW w:w="4319" w:type="dxa"/>
            <w:gridSpan w:val="2"/>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框架□  砖混□  砖木□  简易□  无房□</w:t>
            </w:r>
          </w:p>
        </w:tc>
        <w:tc>
          <w:tcPr>
            <w:tcW w:w="1872" w:type="dxa"/>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940" w:type="dxa"/>
            <w:gridSpan w:val="2"/>
            <w:vMerge w:val="continue"/>
            <w:noWrap w:val="0"/>
            <w:vAlign w:val="center"/>
          </w:tcPr>
          <w:p>
            <w:pPr>
              <w:widowControl/>
              <w:jc w:val="left"/>
              <w:rPr>
                <w:rFonts w:hint="eastAsia" w:ascii="仿宋_GB2312" w:hAnsi="仿宋_GB2312" w:eastAsia="仿宋_GB2312" w:cs="仿宋_GB2312"/>
                <w:b w:val="0"/>
                <w:bCs/>
                <w:kern w:val="0"/>
                <w:sz w:val="20"/>
                <w:szCs w:val="20"/>
              </w:rPr>
            </w:pP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车辆</w:t>
            </w:r>
          </w:p>
        </w:tc>
        <w:tc>
          <w:tcPr>
            <w:tcW w:w="4319" w:type="dxa"/>
            <w:gridSpan w:val="2"/>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轿车□  拖拉机□  客车□  货车□</w:t>
            </w:r>
          </w:p>
        </w:tc>
        <w:tc>
          <w:tcPr>
            <w:tcW w:w="1872" w:type="dxa"/>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940" w:type="dxa"/>
            <w:gridSpan w:val="2"/>
            <w:vMerge w:val="restart"/>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货币财产</w:t>
            </w: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存款</w:t>
            </w:r>
          </w:p>
        </w:tc>
        <w:tc>
          <w:tcPr>
            <w:tcW w:w="6191" w:type="dxa"/>
            <w:gridSpan w:val="3"/>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940" w:type="dxa"/>
            <w:gridSpan w:val="2"/>
            <w:vMerge w:val="continue"/>
            <w:noWrap w:val="0"/>
            <w:vAlign w:val="center"/>
          </w:tcPr>
          <w:p>
            <w:pPr>
              <w:widowControl/>
              <w:jc w:val="left"/>
              <w:rPr>
                <w:rFonts w:hint="eastAsia" w:ascii="仿宋_GB2312" w:hAnsi="仿宋_GB2312" w:eastAsia="仿宋_GB2312" w:cs="仿宋_GB2312"/>
                <w:b w:val="0"/>
                <w:bCs/>
                <w:kern w:val="0"/>
                <w:sz w:val="20"/>
                <w:szCs w:val="20"/>
              </w:rPr>
            </w:pP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有价证券</w:t>
            </w:r>
          </w:p>
        </w:tc>
        <w:tc>
          <w:tcPr>
            <w:tcW w:w="6191" w:type="dxa"/>
            <w:gridSpan w:val="3"/>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940" w:type="dxa"/>
            <w:gridSpan w:val="2"/>
            <w:vMerge w:val="continue"/>
            <w:noWrap w:val="0"/>
            <w:vAlign w:val="center"/>
          </w:tcPr>
          <w:p>
            <w:pPr>
              <w:widowControl/>
              <w:jc w:val="left"/>
              <w:rPr>
                <w:rFonts w:hint="eastAsia" w:ascii="仿宋_GB2312" w:hAnsi="仿宋_GB2312" w:eastAsia="仿宋_GB2312" w:cs="仿宋_GB2312"/>
                <w:b w:val="0"/>
                <w:bCs/>
                <w:kern w:val="0"/>
                <w:sz w:val="20"/>
                <w:szCs w:val="20"/>
              </w:rPr>
            </w:pP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其他</w:t>
            </w:r>
          </w:p>
        </w:tc>
        <w:tc>
          <w:tcPr>
            <w:tcW w:w="6191" w:type="dxa"/>
            <w:gridSpan w:val="3"/>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2" w:hRule="atLeast"/>
          <w:jc w:val="center"/>
        </w:trPr>
        <w:tc>
          <w:tcPr>
            <w:tcW w:w="1940" w:type="dxa"/>
            <w:gridSpan w:val="2"/>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核对机构核对情况</w:t>
            </w:r>
          </w:p>
        </w:tc>
        <w:tc>
          <w:tcPr>
            <w:tcW w:w="7551" w:type="dxa"/>
            <w:gridSpan w:val="4"/>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 w:hRule="atLeast"/>
          <w:jc w:val="center"/>
        </w:trPr>
        <w:tc>
          <w:tcPr>
            <w:tcW w:w="9491" w:type="dxa"/>
            <w:gridSpan w:val="6"/>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二、可支配收入情况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6" w:hRule="atLeast"/>
          <w:jc w:val="center"/>
        </w:trPr>
        <w:tc>
          <w:tcPr>
            <w:tcW w:w="40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1</w:t>
            </w:r>
          </w:p>
        </w:tc>
        <w:tc>
          <w:tcPr>
            <w:tcW w:w="154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工资性收入</w:t>
            </w:r>
          </w:p>
        </w:tc>
        <w:tc>
          <w:tcPr>
            <w:tcW w:w="7551" w:type="dxa"/>
            <w:gridSpan w:val="4"/>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0" w:hRule="atLeast"/>
          <w:jc w:val="center"/>
        </w:trPr>
        <w:tc>
          <w:tcPr>
            <w:tcW w:w="40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2</w:t>
            </w:r>
          </w:p>
        </w:tc>
        <w:tc>
          <w:tcPr>
            <w:tcW w:w="154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经营性净收入</w:t>
            </w:r>
          </w:p>
        </w:tc>
        <w:tc>
          <w:tcPr>
            <w:tcW w:w="7551" w:type="dxa"/>
            <w:gridSpan w:val="4"/>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 w:hRule="atLeast"/>
          <w:jc w:val="center"/>
        </w:trPr>
        <w:tc>
          <w:tcPr>
            <w:tcW w:w="40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3</w:t>
            </w:r>
          </w:p>
        </w:tc>
        <w:tc>
          <w:tcPr>
            <w:tcW w:w="154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财产性净收入</w:t>
            </w:r>
          </w:p>
        </w:tc>
        <w:tc>
          <w:tcPr>
            <w:tcW w:w="7551" w:type="dxa"/>
            <w:gridSpan w:val="4"/>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 w:hRule="atLeast"/>
          <w:jc w:val="center"/>
        </w:trPr>
        <w:tc>
          <w:tcPr>
            <w:tcW w:w="40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4</w:t>
            </w:r>
          </w:p>
        </w:tc>
        <w:tc>
          <w:tcPr>
            <w:tcW w:w="154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转移性净收入</w:t>
            </w:r>
          </w:p>
        </w:tc>
        <w:tc>
          <w:tcPr>
            <w:tcW w:w="7551" w:type="dxa"/>
            <w:gridSpan w:val="4"/>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6" w:hRule="atLeast"/>
          <w:jc w:val="center"/>
        </w:trPr>
        <w:tc>
          <w:tcPr>
            <w:tcW w:w="400" w:type="dxa"/>
            <w:vMerge w:val="restart"/>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5</w:t>
            </w:r>
          </w:p>
        </w:tc>
        <w:tc>
          <w:tcPr>
            <w:tcW w:w="1540" w:type="dxa"/>
            <w:vMerge w:val="restart"/>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农业生产经营性净收入</w:t>
            </w: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种植业</w:t>
            </w:r>
          </w:p>
        </w:tc>
        <w:tc>
          <w:tcPr>
            <w:tcW w:w="2859" w:type="dxa"/>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年产量：</w:t>
            </w:r>
          </w:p>
        </w:tc>
        <w:tc>
          <w:tcPr>
            <w:tcW w:w="3332" w:type="dxa"/>
            <w:gridSpan w:val="2"/>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净收入：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6" w:hRule="atLeast"/>
          <w:jc w:val="center"/>
        </w:trPr>
        <w:tc>
          <w:tcPr>
            <w:tcW w:w="400" w:type="dxa"/>
            <w:vMerge w:val="continue"/>
            <w:noWrap w:val="0"/>
            <w:vAlign w:val="center"/>
          </w:tcPr>
          <w:p>
            <w:pPr>
              <w:widowControl/>
              <w:jc w:val="left"/>
              <w:rPr>
                <w:rFonts w:hint="eastAsia" w:ascii="仿宋_GB2312" w:hAnsi="仿宋_GB2312" w:eastAsia="仿宋_GB2312" w:cs="仿宋_GB2312"/>
                <w:b w:val="0"/>
                <w:bCs/>
                <w:kern w:val="0"/>
                <w:sz w:val="20"/>
                <w:szCs w:val="20"/>
              </w:rPr>
            </w:pPr>
          </w:p>
        </w:tc>
        <w:tc>
          <w:tcPr>
            <w:tcW w:w="1540" w:type="dxa"/>
            <w:vMerge w:val="continue"/>
            <w:noWrap w:val="0"/>
            <w:vAlign w:val="center"/>
          </w:tcPr>
          <w:p>
            <w:pPr>
              <w:widowControl/>
              <w:jc w:val="left"/>
              <w:rPr>
                <w:rFonts w:hint="eastAsia" w:ascii="仿宋_GB2312" w:hAnsi="仿宋_GB2312" w:eastAsia="仿宋_GB2312" w:cs="仿宋_GB2312"/>
                <w:b w:val="0"/>
                <w:bCs/>
                <w:kern w:val="0"/>
                <w:sz w:val="20"/>
                <w:szCs w:val="20"/>
              </w:rPr>
            </w:pP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养殖业</w:t>
            </w:r>
          </w:p>
        </w:tc>
        <w:tc>
          <w:tcPr>
            <w:tcW w:w="2859" w:type="dxa"/>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年产量：</w:t>
            </w:r>
          </w:p>
        </w:tc>
        <w:tc>
          <w:tcPr>
            <w:tcW w:w="3332" w:type="dxa"/>
            <w:gridSpan w:val="2"/>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净收入：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 w:hRule="atLeast"/>
          <w:jc w:val="center"/>
        </w:trPr>
        <w:tc>
          <w:tcPr>
            <w:tcW w:w="400" w:type="dxa"/>
            <w:vMerge w:val="continue"/>
            <w:noWrap w:val="0"/>
            <w:vAlign w:val="center"/>
          </w:tcPr>
          <w:p>
            <w:pPr>
              <w:widowControl/>
              <w:jc w:val="left"/>
              <w:rPr>
                <w:rFonts w:hint="eastAsia" w:ascii="仿宋_GB2312" w:hAnsi="仿宋_GB2312" w:eastAsia="仿宋_GB2312" w:cs="仿宋_GB2312"/>
                <w:b w:val="0"/>
                <w:bCs/>
                <w:kern w:val="0"/>
                <w:sz w:val="20"/>
                <w:szCs w:val="20"/>
              </w:rPr>
            </w:pPr>
          </w:p>
        </w:tc>
        <w:tc>
          <w:tcPr>
            <w:tcW w:w="1540" w:type="dxa"/>
            <w:vMerge w:val="continue"/>
            <w:noWrap w:val="0"/>
            <w:vAlign w:val="center"/>
          </w:tcPr>
          <w:p>
            <w:pPr>
              <w:widowControl/>
              <w:jc w:val="left"/>
              <w:rPr>
                <w:rFonts w:hint="eastAsia" w:ascii="仿宋_GB2312" w:hAnsi="仿宋_GB2312" w:eastAsia="仿宋_GB2312" w:cs="仿宋_GB2312"/>
                <w:b w:val="0"/>
                <w:bCs/>
                <w:kern w:val="0"/>
                <w:sz w:val="20"/>
                <w:szCs w:val="20"/>
              </w:rPr>
            </w:pP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经济林果</w:t>
            </w:r>
          </w:p>
        </w:tc>
        <w:tc>
          <w:tcPr>
            <w:tcW w:w="2859" w:type="dxa"/>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年产量：</w:t>
            </w:r>
          </w:p>
        </w:tc>
        <w:tc>
          <w:tcPr>
            <w:tcW w:w="3332" w:type="dxa"/>
            <w:gridSpan w:val="2"/>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净收入：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400" w:type="dxa"/>
            <w:vMerge w:val="continue"/>
            <w:noWrap w:val="0"/>
            <w:vAlign w:val="center"/>
          </w:tcPr>
          <w:p>
            <w:pPr>
              <w:widowControl/>
              <w:jc w:val="left"/>
              <w:rPr>
                <w:rFonts w:hint="eastAsia" w:ascii="仿宋_GB2312" w:hAnsi="仿宋_GB2312" w:eastAsia="仿宋_GB2312" w:cs="仿宋_GB2312"/>
                <w:b w:val="0"/>
                <w:bCs/>
                <w:kern w:val="0"/>
                <w:sz w:val="20"/>
                <w:szCs w:val="20"/>
              </w:rPr>
            </w:pPr>
          </w:p>
        </w:tc>
        <w:tc>
          <w:tcPr>
            <w:tcW w:w="1540" w:type="dxa"/>
            <w:vMerge w:val="continue"/>
            <w:noWrap w:val="0"/>
            <w:vAlign w:val="center"/>
          </w:tcPr>
          <w:p>
            <w:pPr>
              <w:widowControl/>
              <w:jc w:val="left"/>
              <w:rPr>
                <w:rFonts w:hint="eastAsia" w:ascii="仿宋_GB2312" w:hAnsi="仿宋_GB2312" w:eastAsia="仿宋_GB2312" w:cs="仿宋_GB2312"/>
                <w:b w:val="0"/>
                <w:bCs/>
                <w:kern w:val="0"/>
                <w:sz w:val="20"/>
                <w:szCs w:val="20"/>
              </w:rPr>
            </w:pP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其他</w:t>
            </w:r>
          </w:p>
        </w:tc>
        <w:tc>
          <w:tcPr>
            <w:tcW w:w="2859" w:type="dxa"/>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年产量：</w:t>
            </w:r>
          </w:p>
        </w:tc>
        <w:tc>
          <w:tcPr>
            <w:tcW w:w="3332" w:type="dxa"/>
            <w:gridSpan w:val="2"/>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净收入：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40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6</w:t>
            </w:r>
          </w:p>
        </w:tc>
        <w:tc>
          <w:tcPr>
            <w:tcW w:w="154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劳务收入</w:t>
            </w:r>
          </w:p>
        </w:tc>
        <w:tc>
          <w:tcPr>
            <w:tcW w:w="13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外出务工</w:t>
            </w:r>
          </w:p>
        </w:tc>
        <w:tc>
          <w:tcPr>
            <w:tcW w:w="2859" w:type="dxa"/>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人数：</w:t>
            </w:r>
          </w:p>
        </w:tc>
        <w:tc>
          <w:tcPr>
            <w:tcW w:w="3332" w:type="dxa"/>
            <w:gridSpan w:val="2"/>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1" w:hRule="atLeast"/>
          <w:jc w:val="center"/>
        </w:trPr>
        <w:tc>
          <w:tcPr>
            <w:tcW w:w="1940" w:type="dxa"/>
            <w:gridSpan w:val="2"/>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核对机构核对情况</w:t>
            </w:r>
          </w:p>
        </w:tc>
        <w:tc>
          <w:tcPr>
            <w:tcW w:w="7551" w:type="dxa"/>
            <w:gridSpan w:val="4"/>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 w:hRule="atLeast"/>
          <w:jc w:val="center"/>
        </w:trPr>
        <w:tc>
          <w:tcPr>
            <w:tcW w:w="9491" w:type="dxa"/>
            <w:gridSpan w:val="6"/>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三、应计入的其他收入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9" w:hRule="atLeast"/>
          <w:jc w:val="center"/>
        </w:trPr>
        <w:tc>
          <w:tcPr>
            <w:tcW w:w="9491" w:type="dxa"/>
            <w:gridSpan w:val="6"/>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9" w:hRule="atLeast"/>
          <w:jc w:val="center"/>
        </w:trPr>
        <w:tc>
          <w:tcPr>
            <w:tcW w:w="6159" w:type="dxa"/>
            <w:gridSpan w:val="4"/>
            <w:noWrap w:val="0"/>
            <w:vAlign w:val="center"/>
          </w:tcPr>
          <w:p>
            <w:pPr>
              <w:widowControl/>
              <w:jc w:val="left"/>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以上总收入合计：</w:t>
            </w:r>
          </w:p>
        </w:tc>
        <w:tc>
          <w:tcPr>
            <w:tcW w:w="1460" w:type="dxa"/>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人均</w:t>
            </w:r>
          </w:p>
        </w:tc>
        <w:tc>
          <w:tcPr>
            <w:tcW w:w="1872" w:type="dxa"/>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5" w:hRule="atLeast"/>
          <w:jc w:val="center"/>
        </w:trPr>
        <w:tc>
          <w:tcPr>
            <w:tcW w:w="1940" w:type="dxa"/>
            <w:gridSpan w:val="2"/>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核对机构核对情况</w:t>
            </w:r>
          </w:p>
        </w:tc>
        <w:tc>
          <w:tcPr>
            <w:tcW w:w="7551" w:type="dxa"/>
            <w:gridSpan w:val="4"/>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 w:hRule="atLeast"/>
          <w:jc w:val="center"/>
        </w:trPr>
        <w:tc>
          <w:tcPr>
            <w:tcW w:w="9491" w:type="dxa"/>
            <w:gridSpan w:val="6"/>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四、家庭生产生活困难的原因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9" w:hRule="atLeast"/>
          <w:jc w:val="center"/>
        </w:trPr>
        <w:tc>
          <w:tcPr>
            <w:tcW w:w="9491" w:type="dxa"/>
            <w:gridSpan w:val="6"/>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重病 □ 重残 □ 大额负债 □ 重大灾情 □ 子女上大学 □ 就业情况 □ 住房情况 □ 其他情况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6" w:hRule="atLeast"/>
          <w:jc w:val="center"/>
        </w:trPr>
        <w:tc>
          <w:tcPr>
            <w:tcW w:w="9491" w:type="dxa"/>
            <w:gridSpan w:val="6"/>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五、家庭生产生活支出情况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9" w:hRule="atLeast"/>
          <w:jc w:val="center"/>
        </w:trPr>
        <w:tc>
          <w:tcPr>
            <w:tcW w:w="9491" w:type="dxa"/>
            <w:gridSpan w:val="6"/>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生产支出      元；生活支出      元；就学支出      元；医疗支出      元；其他支出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 w:hRule="atLeast"/>
          <w:jc w:val="center"/>
        </w:trPr>
        <w:tc>
          <w:tcPr>
            <w:tcW w:w="9491" w:type="dxa"/>
            <w:gridSpan w:val="6"/>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六、本人申明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5" w:hRule="atLeast"/>
          <w:jc w:val="center"/>
        </w:trPr>
        <w:tc>
          <w:tcPr>
            <w:tcW w:w="9491" w:type="dxa"/>
            <w:gridSpan w:val="6"/>
            <w:noWrap w:val="0"/>
            <w:vAlign w:val="center"/>
          </w:tcPr>
          <w:p>
            <w:pPr>
              <w:widowControl/>
              <w:spacing w:line="0" w:lineRule="atLeast"/>
              <w:ind w:firstLine="400" w:firstLineChars="200"/>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本人郑重申明，所提供的家庭收入、家庭财产及支出情况属实，如有不实，愿停止申请或给予取消社会救助，并承担相应的法律责任。</w:t>
            </w:r>
          </w:p>
          <w:p>
            <w:pPr>
              <w:widowControl/>
              <w:spacing w:line="0" w:lineRule="atLeast"/>
              <w:ind w:firstLine="400" w:firstLineChars="200"/>
              <w:rPr>
                <w:rFonts w:hint="eastAsia" w:ascii="仿宋_GB2312" w:hAnsi="仿宋_GB2312" w:eastAsia="仿宋_GB2312" w:cs="仿宋_GB2312"/>
                <w:b w:val="0"/>
                <w:bCs/>
                <w:kern w:val="0"/>
                <w:sz w:val="20"/>
                <w:szCs w:val="20"/>
              </w:rPr>
            </w:pPr>
          </w:p>
          <w:p>
            <w:pPr>
              <w:widowControl/>
              <w:spacing w:line="0" w:lineRule="atLeast"/>
              <w:ind w:firstLine="5400" w:firstLineChars="2700"/>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户主签字：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 w:hRule="atLeast"/>
          <w:jc w:val="center"/>
        </w:trPr>
        <w:tc>
          <w:tcPr>
            <w:tcW w:w="9491" w:type="dxa"/>
            <w:gridSpan w:val="6"/>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七、申请救助类别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9" w:hRule="atLeast"/>
          <w:jc w:val="center"/>
        </w:trPr>
        <w:tc>
          <w:tcPr>
            <w:tcW w:w="9491" w:type="dxa"/>
            <w:gridSpan w:val="6"/>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最低生活保障  □    教育救助  □    医疗救助  □  受灾人员救助  □  特困人员供养  □</w:t>
            </w:r>
          </w:p>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住房救助  □  临时救助  □  就学救助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40" w:type="dxa"/>
            <w:gridSpan w:val="2"/>
            <w:vMerge w:val="restart"/>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乡镇（街道）人民政府核对机构审核意见</w:t>
            </w:r>
          </w:p>
        </w:tc>
        <w:tc>
          <w:tcPr>
            <w:tcW w:w="7551" w:type="dxa"/>
            <w:gridSpan w:val="4"/>
            <w:vMerge w:val="restart"/>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5" w:hRule="atLeast"/>
          <w:jc w:val="center"/>
        </w:trPr>
        <w:tc>
          <w:tcPr>
            <w:tcW w:w="1940" w:type="dxa"/>
            <w:gridSpan w:val="2"/>
            <w:vMerge w:val="continue"/>
            <w:noWrap w:val="0"/>
            <w:vAlign w:val="center"/>
          </w:tcPr>
          <w:p>
            <w:pPr>
              <w:widowControl/>
              <w:jc w:val="left"/>
              <w:rPr>
                <w:rFonts w:hint="eastAsia" w:ascii="仿宋_GB2312" w:hAnsi="仿宋_GB2312" w:eastAsia="仿宋_GB2312" w:cs="仿宋_GB2312"/>
                <w:b w:val="0"/>
                <w:bCs/>
                <w:kern w:val="0"/>
                <w:sz w:val="20"/>
                <w:szCs w:val="20"/>
              </w:rPr>
            </w:pPr>
          </w:p>
        </w:tc>
        <w:tc>
          <w:tcPr>
            <w:tcW w:w="7551" w:type="dxa"/>
            <w:gridSpan w:val="4"/>
            <w:vMerge w:val="continue"/>
            <w:noWrap w:val="0"/>
            <w:vAlign w:val="center"/>
          </w:tcPr>
          <w:p>
            <w:pPr>
              <w:widowControl/>
              <w:jc w:val="left"/>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40" w:type="dxa"/>
            <w:gridSpan w:val="2"/>
            <w:vMerge w:val="restart"/>
            <w:noWrap w:val="0"/>
            <w:vAlign w:val="center"/>
          </w:tcPr>
          <w:p>
            <w:pPr>
              <w:widowControl/>
              <w:jc w:val="center"/>
              <w:rPr>
                <w:rFonts w:hint="eastAsia" w:ascii="仿宋_GB2312" w:hAnsi="仿宋_GB2312" w:eastAsia="仿宋_GB2312" w:cs="仿宋_GB2312"/>
                <w:b w:val="0"/>
                <w:bCs/>
                <w:kern w:val="0"/>
                <w:sz w:val="20"/>
                <w:szCs w:val="20"/>
              </w:rPr>
            </w:pPr>
            <w:r>
              <w:rPr>
                <w:rFonts w:hint="eastAsia" w:ascii="仿宋_GB2312" w:hAnsi="仿宋_GB2312" w:eastAsia="仿宋_GB2312" w:cs="仿宋_GB2312"/>
                <w:b w:val="0"/>
                <w:bCs/>
                <w:kern w:val="0"/>
                <w:sz w:val="20"/>
                <w:szCs w:val="20"/>
              </w:rPr>
              <w:t>县级社会救助管理机构审批意见</w:t>
            </w:r>
          </w:p>
        </w:tc>
        <w:tc>
          <w:tcPr>
            <w:tcW w:w="7551" w:type="dxa"/>
            <w:gridSpan w:val="4"/>
            <w:vMerge w:val="restart"/>
            <w:noWrap w:val="0"/>
            <w:vAlign w:val="center"/>
          </w:tcPr>
          <w:p>
            <w:pPr>
              <w:widowControl/>
              <w:jc w:val="center"/>
              <w:rPr>
                <w:rFonts w:hint="eastAsia" w:ascii="仿宋_GB2312" w:hAnsi="仿宋_GB2312" w:eastAsia="仿宋_GB2312" w:cs="仿宋_GB2312"/>
                <w:b w:val="0"/>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65" w:hRule="atLeast"/>
          <w:jc w:val="center"/>
        </w:trPr>
        <w:tc>
          <w:tcPr>
            <w:tcW w:w="1940" w:type="dxa"/>
            <w:gridSpan w:val="2"/>
            <w:vMerge w:val="continue"/>
            <w:noWrap w:val="0"/>
            <w:vAlign w:val="center"/>
          </w:tcPr>
          <w:p>
            <w:pPr>
              <w:widowControl/>
              <w:jc w:val="left"/>
              <w:rPr>
                <w:rFonts w:hint="eastAsia" w:ascii="仿宋_GB2312" w:hAnsi="仿宋_GB2312" w:eastAsia="仿宋_GB2312" w:cs="仿宋_GB2312"/>
                <w:b w:val="0"/>
                <w:bCs/>
                <w:kern w:val="0"/>
                <w:sz w:val="20"/>
                <w:szCs w:val="20"/>
              </w:rPr>
            </w:pPr>
          </w:p>
        </w:tc>
        <w:tc>
          <w:tcPr>
            <w:tcW w:w="7551" w:type="dxa"/>
            <w:gridSpan w:val="4"/>
            <w:vMerge w:val="continue"/>
            <w:noWrap w:val="0"/>
            <w:vAlign w:val="center"/>
          </w:tcPr>
          <w:p>
            <w:pPr>
              <w:widowControl/>
              <w:jc w:val="left"/>
              <w:rPr>
                <w:rFonts w:hint="eastAsia" w:ascii="仿宋_GB2312" w:hAnsi="仿宋_GB2312" w:eastAsia="仿宋_GB2312" w:cs="仿宋_GB2312"/>
                <w:b w:val="0"/>
                <w:bCs/>
                <w:kern w:val="0"/>
                <w:sz w:val="20"/>
                <w:szCs w:val="20"/>
              </w:rPr>
            </w:pPr>
          </w:p>
        </w:tc>
      </w:tr>
    </w:tbl>
    <w:p>
      <w:pPr>
        <w:adjustRightInd w:val="0"/>
        <w:snapToGrid w:val="0"/>
        <w:spacing w:line="54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本表对《社会救助暂行办法》中规定的八类救助所涉及的家庭财产及收入进行核对。</w:t>
      </w: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附件3</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临沧市城乡居民家庭经济状况核对主要农作物和养殖业产值及纯收入参考数据</w:t>
      </w:r>
    </w:p>
    <w:tbl>
      <w:tblPr>
        <w:tblStyle w:val="7"/>
        <w:tblW w:w="9479" w:type="dxa"/>
        <w:jc w:val="center"/>
        <w:tblLayout w:type="fixed"/>
        <w:tblCellMar>
          <w:top w:w="0" w:type="dxa"/>
          <w:left w:w="28" w:type="dxa"/>
          <w:bottom w:w="0" w:type="dxa"/>
          <w:right w:w="28" w:type="dxa"/>
        </w:tblCellMar>
      </w:tblPr>
      <w:tblGrid>
        <w:gridCol w:w="626"/>
        <w:gridCol w:w="1038"/>
        <w:gridCol w:w="1528"/>
        <w:gridCol w:w="1427"/>
        <w:gridCol w:w="1166"/>
        <w:gridCol w:w="2507"/>
        <w:gridCol w:w="1187"/>
      </w:tblGrid>
      <w:tr>
        <w:tblPrEx>
          <w:tblCellMar>
            <w:top w:w="0" w:type="dxa"/>
            <w:left w:w="28" w:type="dxa"/>
            <w:bottom w:w="0" w:type="dxa"/>
            <w:right w:w="28" w:type="dxa"/>
          </w:tblCellMar>
        </w:tblPrEx>
        <w:trPr>
          <w:trHeight w:val="952" w:hRule="atLeast"/>
          <w:jc w:val="center"/>
        </w:trPr>
        <w:tc>
          <w:tcPr>
            <w:tcW w:w="62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种</w:t>
            </w:r>
          </w:p>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植</w:t>
            </w:r>
          </w:p>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业</w:t>
            </w:r>
          </w:p>
        </w:tc>
        <w:tc>
          <w:tcPr>
            <w:tcW w:w="1038"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种植名称</w:t>
            </w:r>
          </w:p>
        </w:tc>
        <w:tc>
          <w:tcPr>
            <w:tcW w:w="1528"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单产</w:t>
            </w:r>
          </w:p>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（公斤/亩）</w:t>
            </w:r>
          </w:p>
        </w:tc>
        <w:tc>
          <w:tcPr>
            <w:tcW w:w="142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价格</w:t>
            </w:r>
          </w:p>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（元/公斤）</w:t>
            </w:r>
          </w:p>
        </w:tc>
        <w:tc>
          <w:tcPr>
            <w:tcW w:w="116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产值</w:t>
            </w:r>
          </w:p>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（元/亩）</w:t>
            </w:r>
          </w:p>
        </w:tc>
        <w:tc>
          <w:tcPr>
            <w:tcW w:w="250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纯收入（元/亩）</w:t>
            </w:r>
          </w:p>
        </w:tc>
        <w:tc>
          <w:tcPr>
            <w:tcW w:w="1187"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备注</w:t>
            </w:r>
          </w:p>
        </w:tc>
      </w:tr>
      <w:tr>
        <w:tblPrEx>
          <w:tblCellMar>
            <w:top w:w="0" w:type="dxa"/>
            <w:left w:w="28" w:type="dxa"/>
            <w:bottom w:w="0" w:type="dxa"/>
            <w:right w:w="28" w:type="dxa"/>
          </w:tblCellMar>
        </w:tblPrEx>
        <w:trPr>
          <w:trHeight w:val="496" w:hRule="atLeast"/>
          <w:jc w:val="center"/>
        </w:trPr>
        <w:tc>
          <w:tcPr>
            <w:tcW w:w="62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稻谷</w:t>
            </w:r>
          </w:p>
        </w:tc>
        <w:tc>
          <w:tcPr>
            <w:tcW w:w="152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370</w:t>
            </w:r>
          </w:p>
        </w:tc>
        <w:tc>
          <w:tcPr>
            <w:tcW w:w="142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2.8</w:t>
            </w:r>
          </w:p>
        </w:tc>
        <w:tc>
          <w:tcPr>
            <w:tcW w:w="1166"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1036</w:t>
            </w:r>
          </w:p>
        </w:tc>
        <w:tc>
          <w:tcPr>
            <w:tcW w:w="250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104-155（10-15%以内）</w:t>
            </w:r>
          </w:p>
        </w:tc>
        <w:tc>
          <w:tcPr>
            <w:tcW w:w="118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496" w:hRule="atLeast"/>
          <w:jc w:val="center"/>
        </w:trPr>
        <w:tc>
          <w:tcPr>
            <w:tcW w:w="62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玉米</w:t>
            </w:r>
          </w:p>
        </w:tc>
        <w:tc>
          <w:tcPr>
            <w:tcW w:w="152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285</w:t>
            </w:r>
          </w:p>
        </w:tc>
        <w:tc>
          <w:tcPr>
            <w:tcW w:w="142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2.2</w:t>
            </w:r>
          </w:p>
        </w:tc>
        <w:tc>
          <w:tcPr>
            <w:tcW w:w="1166"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627</w:t>
            </w:r>
          </w:p>
        </w:tc>
        <w:tc>
          <w:tcPr>
            <w:tcW w:w="250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63-94（10-15%以内）</w:t>
            </w:r>
          </w:p>
        </w:tc>
        <w:tc>
          <w:tcPr>
            <w:tcW w:w="118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496" w:hRule="atLeast"/>
          <w:jc w:val="center"/>
        </w:trPr>
        <w:tc>
          <w:tcPr>
            <w:tcW w:w="62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烤烟</w:t>
            </w:r>
          </w:p>
        </w:tc>
        <w:tc>
          <w:tcPr>
            <w:tcW w:w="152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112</w:t>
            </w:r>
          </w:p>
        </w:tc>
        <w:tc>
          <w:tcPr>
            <w:tcW w:w="142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18</w:t>
            </w:r>
          </w:p>
        </w:tc>
        <w:tc>
          <w:tcPr>
            <w:tcW w:w="1166"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206</w:t>
            </w:r>
          </w:p>
        </w:tc>
        <w:tc>
          <w:tcPr>
            <w:tcW w:w="250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41-52（20-25%以内）</w:t>
            </w:r>
          </w:p>
        </w:tc>
        <w:tc>
          <w:tcPr>
            <w:tcW w:w="118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496" w:hRule="atLeast"/>
          <w:jc w:val="center"/>
        </w:trPr>
        <w:tc>
          <w:tcPr>
            <w:tcW w:w="62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油菜</w:t>
            </w:r>
          </w:p>
        </w:tc>
        <w:tc>
          <w:tcPr>
            <w:tcW w:w="152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148</w:t>
            </w:r>
          </w:p>
        </w:tc>
        <w:tc>
          <w:tcPr>
            <w:tcW w:w="142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4.5</w:t>
            </w:r>
          </w:p>
        </w:tc>
        <w:tc>
          <w:tcPr>
            <w:tcW w:w="1166"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666</w:t>
            </w:r>
          </w:p>
        </w:tc>
        <w:tc>
          <w:tcPr>
            <w:tcW w:w="250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67-100（10-15%以内）</w:t>
            </w:r>
          </w:p>
        </w:tc>
        <w:tc>
          <w:tcPr>
            <w:tcW w:w="118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389" w:hRule="atLeast"/>
          <w:jc w:val="center"/>
        </w:trPr>
        <w:tc>
          <w:tcPr>
            <w:tcW w:w="62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甘蔗</w:t>
            </w:r>
          </w:p>
        </w:tc>
        <w:tc>
          <w:tcPr>
            <w:tcW w:w="152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4085</w:t>
            </w:r>
          </w:p>
        </w:tc>
        <w:tc>
          <w:tcPr>
            <w:tcW w:w="142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0.42</w:t>
            </w:r>
          </w:p>
        </w:tc>
        <w:tc>
          <w:tcPr>
            <w:tcW w:w="1166"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1716</w:t>
            </w:r>
          </w:p>
        </w:tc>
        <w:tc>
          <w:tcPr>
            <w:tcW w:w="250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257-343（15-20%以内）</w:t>
            </w:r>
          </w:p>
        </w:tc>
        <w:tc>
          <w:tcPr>
            <w:tcW w:w="118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388" w:hRule="atLeast"/>
          <w:jc w:val="center"/>
        </w:trPr>
        <w:tc>
          <w:tcPr>
            <w:tcW w:w="62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茶叶</w:t>
            </w:r>
          </w:p>
        </w:tc>
        <w:tc>
          <w:tcPr>
            <w:tcW w:w="152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50</w:t>
            </w:r>
          </w:p>
        </w:tc>
        <w:tc>
          <w:tcPr>
            <w:tcW w:w="142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9</w:t>
            </w:r>
          </w:p>
        </w:tc>
        <w:tc>
          <w:tcPr>
            <w:tcW w:w="1166"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450</w:t>
            </w:r>
          </w:p>
        </w:tc>
        <w:tc>
          <w:tcPr>
            <w:tcW w:w="250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23-45（5-10%以内）</w:t>
            </w:r>
          </w:p>
        </w:tc>
        <w:tc>
          <w:tcPr>
            <w:tcW w:w="118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325" w:hRule="atLeast"/>
          <w:jc w:val="center"/>
        </w:trPr>
        <w:tc>
          <w:tcPr>
            <w:tcW w:w="62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其他</w:t>
            </w:r>
          </w:p>
        </w:tc>
        <w:tc>
          <w:tcPr>
            <w:tcW w:w="152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c>
          <w:tcPr>
            <w:tcW w:w="142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c>
          <w:tcPr>
            <w:tcW w:w="1166"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c>
          <w:tcPr>
            <w:tcW w:w="250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c>
          <w:tcPr>
            <w:tcW w:w="118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476" w:hRule="atLeast"/>
          <w:jc w:val="center"/>
        </w:trPr>
        <w:tc>
          <w:tcPr>
            <w:tcW w:w="626" w:type="dxa"/>
            <w:vMerge w:val="restart"/>
            <w:tcBorders>
              <w:top w:val="nil"/>
              <w:left w:val="single" w:color="auto" w:sz="4" w:space="0"/>
              <w:bottom w:val="single" w:color="000000"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养</w:t>
            </w:r>
          </w:p>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殖</w:t>
            </w:r>
          </w:p>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业</w:t>
            </w: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养殖产品</w:t>
            </w:r>
          </w:p>
        </w:tc>
        <w:tc>
          <w:tcPr>
            <w:tcW w:w="2955"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市场价</w:t>
            </w:r>
          </w:p>
        </w:tc>
        <w:tc>
          <w:tcPr>
            <w:tcW w:w="3673"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纯收入（元）</w:t>
            </w:r>
          </w:p>
        </w:tc>
        <w:tc>
          <w:tcPr>
            <w:tcW w:w="118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备注</w:t>
            </w:r>
          </w:p>
        </w:tc>
      </w:tr>
      <w:tr>
        <w:tblPrEx>
          <w:tblCellMar>
            <w:top w:w="0" w:type="dxa"/>
            <w:left w:w="28" w:type="dxa"/>
            <w:bottom w:w="0" w:type="dxa"/>
            <w:right w:w="28" w:type="dxa"/>
          </w:tblCellMar>
        </w:tblPrEx>
        <w:trPr>
          <w:trHeight w:val="496" w:hRule="atLeast"/>
          <w:jc w:val="center"/>
        </w:trPr>
        <w:tc>
          <w:tcPr>
            <w:tcW w:w="626"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牛</w:t>
            </w:r>
          </w:p>
        </w:tc>
        <w:tc>
          <w:tcPr>
            <w:tcW w:w="2955"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4200元/头</w:t>
            </w:r>
          </w:p>
        </w:tc>
        <w:tc>
          <w:tcPr>
            <w:tcW w:w="3673"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350元/头</w:t>
            </w:r>
          </w:p>
        </w:tc>
        <w:tc>
          <w:tcPr>
            <w:tcW w:w="1187" w:type="dxa"/>
            <w:vMerge w:val="restart"/>
            <w:tcBorders>
              <w:top w:val="nil"/>
              <w:left w:val="single" w:color="auto" w:sz="4" w:space="0"/>
              <w:bottom w:val="single" w:color="000000"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家庭收入以养殖业为主的出栏数以此价格计算</w:t>
            </w:r>
          </w:p>
        </w:tc>
      </w:tr>
      <w:tr>
        <w:tblPrEx>
          <w:tblCellMar>
            <w:top w:w="0" w:type="dxa"/>
            <w:left w:w="28" w:type="dxa"/>
            <w:bottom w:w="0" w:type="dxa"/>
            <w:right w:w="28" w:type="dxa"/>
          </w:tblCellMar>
        </w:tblPrEx>
        <w:trPr>
          <w:trHeight w:val="496" w:hRule="atLeast"/>
          <w:jc w:val="center"/>
        </w:trPr>
        <w:tc>
          <w:tcPr>
            <w:tcW w:w="626"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羊</w:t>
            </w:r>
          </w:p>
        </w:tc>
        <w:tc>
          <w:tcPr>
            <w:tcW w:w="2955"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26元/公斤</w:t>
            </w:r>
          </w:p>
        </w:tc>
        <w:tc>
          <w:tcPr>
            <w:tcW w:w="3673"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15元/公斤</w:t>
            </w:r>
          </w:p>
        </w:tc>
        <w:tc>
          <w:tcPr>
            <w:tcW w:w="1187"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496" w:hRule="atLeast"/>
          <w:jc w:val="center"/>
        </w:trPr>
        <w:tc>
          <w:tcPr>
            <w:tcW w:w="626"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鸡</w:t>
            </w:r>
          </w:p>
        </w:tc>
        <w:tc>
          <w:tcPr>
            <w:tcW w:w="2955"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30元/只</w:t>
            </w:r>
          </w:p>
        </w:tc>
        <w:tc>
          <w:tcPr>
            <w:tcW w:w="3673"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2.5元/只</w:t>
            </w:r>
          </w:p>
        </w:tc>
        <w:tc>
          <w:tcPr>
            <w:tcW w:w="1187"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496" w:hRule="atLeast"/>
          <w:jc w:val="center"/>
        </w:trPr>
        <w:tc>
          <w:tcPr>
            <w:tcW w:w="626"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鱼</w:t>
            </w:r>
          </w:p>
        </w:tc>
        <w:tc>
          <w:tcPr>
            <w:tcW w:w="2955"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15元/公斤</w:t>
            </w:r>
          </w:p>
        </w:tc>
        <w:tc>
          <w:tcPr>
            <w:tcW w:w="3673"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3元/公斤</w:t>
            </w:r>
          </w:p>
        </w:tc>
        <w:tc>
          <w:tcPr>
            <w:tcW w:w="1187"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496" w:hRule="atLeast"/>
          <w:jc w:val="center"/>
        </w:trPr>
        <w:tc>
          <w:tcPr>
            <w:tcW w:w="626"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猪</w:t>
            </w:r>
          </w:p>
        </w:tc>
        <w:tc>
          <w:tcPr>
            <w:tcW w:w="2955"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12元/公斤</w:t>
            </w:r>
          </w:p>
        </w:tc>
        <w:tc>
          <w:tcPr>
            <w:tcW w:w="3673"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0.8元/公斤</w:t>
            </w:r>
          </w:p>
        </w:tc>
        <w:tc>
          <w:tcPr>
            <w:tcW w:w="1187"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496" w:hRule="atLeast"/>
          <w:jc w:val="center"/>
        </w:trPr>
        <w:tc>
          <w:tcPr>
            <w:tcW w:w="626"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其他</w:t>
            </w:r>
          </w:p>
        </w:tc>
        <w:tc>
          <w:tcPr>
            <w:tcW w:w="2955"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c>
          <w:tcPr>
            <w:tcW w:w="3673"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c>
          <w:tcPr>
            <w:tcW w:w="1187"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476" w:hRule="atLeast"/>
          <w:jc w:val="center"/>
        </w:trPr>
        <w:tc>
          <w:tcPr>
            <w:tcW w:w="626" w:type="dxa"/>
            <w:vMerge w:val="restart"/>
            <w:tcBorders>
              <w:top w:val="nil"/>
              <w:left w:val="single" w:color="auto" w:sz="4" w:space="0"/>
              <w:bottom w:val="single" w:color="000000"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劳务收入</w:t>
            </w: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劳务收入</w:t>
            </w:r>
          </w:p>
        </w:tc>
        <w:tc>
          <w:tcPr>
            <w:tcW w:w="6628" w:type="dxa"/>
            <w:gridSpan w:val="4"/>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按临沧市居民经济状况核对核对办法第八条相关要求核算</w:t>
            </w:r>
          </w:p>
        </w:tc>
        <w:tc>
          <w:tcPr>
            <w:tcW w:w="118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r>
      <w:tr>
        <w:tblPrEx>
          <w:tblCellMar>
            <w:top w:w="0" w:type="dxa"/>
            <w:left w:w="28" w:type="dxa"/>
            <w:bottom w:w="0" w:type="dxa"/>
            <w:right w:w="28" w:type="dxa"/>
          </w:tblCellMar>
        </w:tblPrEx>
        <w:trPr>
          <w:trHeight w:val="589" w:hRule="atLeast"/>
          <w:jc w:val="center"/>
        </w:trPr>
        <w:tc>
          <w:tcPr>
            <w:tcW w:w="626" w:type="dxa"/>
            <w:vMerge w:val="continue"/>
            <w:tcBorders>
              <w:top w:val="nil"/>
              <w:left w:val="single" w:color="auto" w:sz="4" w:space="0"/>
              <w:bottom w:val="single" w:color="000000" w:sz="4" w:space="0"/>
              <w:right w:val="single" w:color="auto" w:sz="4" w:space="0"/>
            </w:tcBorders>
            <w:noWrap w:val="0"/>
            <w:vAlign w:val="center"/>
          </w:tcPr>
          <w:p>
            <w:pPr>
              <w:widowControl/>
              <w:spacing w:line="0" w:lineRule="atLeast"/>
              <w:jc w:val="left"/>
              <w:rPr>
                <w:rFonts w:hint="eastAsia" w:ascii="仿宋_GB2312" w:hAnsi="仿宋_GB2312" w:eastAsia="仿宋_GB2312" w:cs="仿宋_GB2312"/>
                <w:b w:val="0"/>
                <w:bCs/>
                <w:kern w:val="0"/>
                <w:sz w:val="24"/>
              </w:rPr>
            </w:pPr>
          </w:p>
        </w:tc>
        <w:tc>
          <w:tcPr>
            <w:tcW w:w="103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r>
              <w:rPr>
                <w:rFonts w:hint="eastAsia" w:ascii="仿宋_GB2312" w:hAnsi="仿宋_GB2312" w:eastAsia="仿宋_GB2312" w:cs="仿宋_GB2312"/>
                <w:b w:val="0"/>
                <w:bCs/>
                <w:kern w:val="0"/>
                <w:sz w:val="24"/>
              </w:rPr>
              <w:t>其他</w:t>
            </w:r>
          </w:p>
        </w:tc>
        <w:tc>
          <w:tcPr>
            <w:tcW w:w="6628" w:type="dxa"/>
            <w:gridSpan w:val="4"/>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c>
          <w:tcPr>
            <w:tcW w:w="1187"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仿宋_GB2312" w:hAnsi="仿宋_GB2312" w:eastAsia="仿宋_GB2312" w:cs="仿宋_GB2312"/>
                <w:b w:val="0"/>
                <w:bCs/>
                <w:kern w:val="0"/>
                <w:sz w:val="24"/>
              </w:rPr>
            </w:pPr>
          </w:p>
        </w:tc>
      </w:tr>
    </w:tbl>
    <w:p>
      <w:pPr>
        <w:adjustRightInd w:val="0"/>
        <w:snapToGrid w:val="0"/>
        <w:spacing w:line="440" w:lineRule="exact"/>
        <w:ind w:firstLine="640" w:firstLineChars="20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备注：各县（区）也可以依此测算价格，结合实际制定相应的产品价格。</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2624C1"/>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6954A5A"/>
    <w:rsid w:val="572C6D10"/>
    <w:rsid w:val="5DC34279"/>
    <w:rsid w:val="608816D1"/>
    <w:rsid w:val="60EF4E7F"/>
    <w:rsid w:val="64F5A37E"/>
    <w:rsid w:val="665233C1"/>
    <w:rsid w:val="6AD9688B"/>
    <w:rsid w:val="6D0E3F22"/>
    <w:rsid w:val="6EBF9763"/>
    <w:rsid w:val="73B94794"/>
    <w:rsid w:val="77E5E68E"/>
    <w:rsid w:val="7BBA99E5"/>
    <w:rsid w:val="7C9011D9"/>
    <w:rsid w:val="7D3BED4D"/>
    <w:rsid w:val="7DC651C5"/>
    <w:rsid w:val="7FBF6CF0"/>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p0"/>
    <w:basedOn w:val="1"/>
    <w:qFormat/>
    <w:uiPriority w:val="0"/>
    <w:pPr>
      <w:widowControl/>
      <w:spacing w:line="408" w:lineRule="auto"/>
      <w:ind w:left="1"/>
    </w:pPr>
    <w:rPr>
      <w:color w:val="000000"/>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