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jc w:val="center"/>
        <w:rPr>
          <w:rFonts w:hint="eastAsia" w:asciiTheme="minorEastAsia" w:hAnsiTheme="minorEastAsia" w:eastAsiaTheme="minorEastAsia" w:cstheme="minorEastAsia"/>
          <w:sz w:val="44"/>
          <w:szCs w:val="44"/>
          <w:lang w:val="en-US" w:eastAsia="zh-CN"/>
        </w:rPr>
      </w:pPr>
    </w:p>
    <w:p>
      <w:pPr>
        <w:widowControl/>
        <w:shd w:val="clear"/>
        <w:spacing w:line="240" w:lineRule="auto"/>
        <w:jc w:val="center"/>
        <w:rPr>
          <w:rFonts w:asciiTheme="minorEastAsia" w:hAnsiTheme="minorEastAsia" w:eastAsiaTheme="minorEastAsia" w:cstheme="minorEastAsia"/>
          <w:b w:val="0"/>
          <w:bCs w:val="0"/>
          <w:color w:val="auto"/>
          <w:spacing w:val="0"/>
          <w:kern w:val="2"/>
          <w:sz w:val="44"/>
          <w:szCs w:val="44"/>
        </w:rPr>
      </w:pPr>
      <w:r>
        <w:rPr>
          <w:rFonts w:asciiTheme="minorEastAsia" w:hAnsiTheme="minorEastAsia" w:eastAsiaTheme="minorEastAsia" w:cstheme="minorEastAsia"/>
          <w:b w:val="0"/>
          <w:color w:val="auto"/>
          <w:sz w:val="44"/>
          <w:szCs w:val="44"/>
        </w:rPr>
        <w:t>临沧市人民政府办公室关于印发</w:t>
      </w:r>
      <w:r>
        <w:rPr>
          <w:rFonts w:asciiTheme="minorEastAsia" w:hAnsiTheme="minorEastAsia" w:eastAsiaTheme="minorEastAsia" w:cstheme="minorEastAsia"/>
          <w:b w:val="0"/>
          <w:bCs w:val="0"/>
          <w:color w:val="auto"/>
          <w:spacing w:val="0"/>
          <w:kern w:val="2"/>
          <w:sz w:val="44"/>
          <w:szCs w:val="44"/>
        </w:rPr>
        <w:t>临沧市</w:t>
      </w:r>
    </w:p>
    <w:p>
      <w:pPr>
        <w:widowControl/>
        <w:shd w:val="clear"/>
        <w:spacing w:line="240" w:lineRule="auto"/>
        <w:jc w:val="center"/>
        <w:rPr>
          <w:rFonts w:asciiTheme="minorEastAsia" w:hAnsiTheme="minorEastAsia" w:eastAsiaTheme="minorEastAsia" w:cstheme="minorEastAsia"/>
          <w:b w:val="0"/>
          <w:color w:val="auto"/>
          <w:sz w:val="44"/>
          <w:szCs w:val="44"/>
        </w:rPr>
      </w:pPr>
      <w:r>
        <w:rPr>
          <w:rFonts w:asciiTheme="minorEastAsia" w:hAnsiTheme="minorEastAsia" w:eastAsiaTheme="minorEastAsia" w:cstheme="minorEastAsia"/>
          <w:b w:val="0"/>
          <w:bCs w:val="0"/>
          <w:color w:val="auto"/>
          <w:spacing w:val="0"/>
          <w:kern w:val="2"/>
          <w:sz w:val="44"/>
          <w:szCs w:val="44"/>
        </w:rPr>
        <w:t>爱国卫生工作管理办法</w:t>
      </w:r>
      <w:r>
        <w:rPr>
          <w:rFonts w:asciiTheme="minorEastAsia" w:hAnsiTheme="minorEastAsia" w:eastAsiaTheme="minorEastAsia" w:cstheme="minorEastAsia"/>
          <w:b w:val="0"/>
          <w:color w:val="auto"/>
          <w:sz w:val="44"/>
          <w:szCs w:val="44"/>
        </w:rPr>
        <w:t>的通知</w:t>
      </w:r>
    </w:p>
    <w:p>
      <w:pPr>
        <w:spacing w:line="240" w:lineRule="auto"/>
        <w:jc w:val="center"/>
        <w:rPr>
          <w:rFonts w:hint="eastAsia" w:ascii="楷体_GB2312" w:hAnsi="楷体_GB2312" w:eastAsia="楷体_GB2312" w:cs="楷体_GB2312"/>
          <w:b w:val="0"/>
          <w:color w:val="333333"/>
          <w:sz w:val="32"/>
          <w:szCs w:val="32"/>
          <w:shd w:val="clear" w:fill="FFFFFF"/>
        </w:rPr>
      </w:pPr>
      <w:r>
        <w:rPr>
          <w:rFonts w:hint="eastAsia" w:ascii="楷体_GB2312" w:hAnsi="楷体_GB2312" w:eastAsia="楷体_GB2312" w:cs="楷体_GB2312"/>
          <w:b w:val="0"/>
          <w:color w:val="333333"/>
          <w:sz w:val="32"/>
          <w:szCs w:val="32"/>
          <w:shd w:val="clear" w:fill="FFFFFF"/>
        </w:rPr>
        <w:t>临政办规〔2019〕1号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eastAsia="方正仿宋_GBK"/>
          <w:b/>
          <w:sz w:val="32"/>
          <w:szCs w:val="32"/>
        </w:rPr>
      </w:pPr>
    </w:p>
    <w:p>
      <w:pPr>
        <w:spacing w:line="240" w:lineRule="auto"/>
        <w:ind w:firstLine="0" w:firstLineChars="0"/>
        <w:rPr>
          <w:rFonts w:ascii="仿宋_GB2312" w:hAnsi="仿宋_GB2312" w:eastAsia="仿宋_GB2312" w:cs="仿宋_GB2312"/>
          <w:b w:val="0"/>
          <w:color w:val="333333"/>
          <w:sz w:val="32"/>
          <w:szCs w:val="32"/>
          <w:shd w:val="clear" w:fill="FFFFFF"/>
        </w:rPr>
      </w:pPr>
      <w:r>
        <w:rPr>
          <w:rFonts w:ascii="仿宋_GB2312" w:hAnsi="仿宋_GB2312" w:eastAsia="仿宋_GB2312" w:cs="仿宋_GB2312"/>
          <w:b w:val="0"/>
          <w:color w:val="333333"/>
          <w:sz w:val="32"/>
          <w:szCs w:val="32"/>
          <w:shd w:val="clear" w:fill="FFFFFF"/>
        </w:rPr>
        <w:t>各县、自治县、区人民政府，市直各委、办、局：</w:t>
      </w:r>
    </w:p>
    <w:p>
      <w:pPr>
        <w:spacing w:line="240" w:lineRule="auto"/>
        <w:ind w:firstLine="640" w:firstLineChars="200"/>
        <w:rPr>
          <w:rFonts w:ascii="仿宋_GB2312" w:hAnsi="仿宋_GB2312" w:eastAsia="仿宋_GB2312" w:cs="仿宋_GB2312"/>
          <w:b w:val="0"/>
          <w:color w:val="333333"/>
          <w:sz w:val="32"/>
          <w:szCs w:val="32"/>
          <w:shd w:val="clear" w:fill="FFFFFF"/>
        </w:rPr>
      </w:pPr>
      <w:r>
        <w:rPr>
          <w:rFonts w:ascii="仿宋_GB2312" w:hAnsi="仿宋_GB2312" w:eastAsia="仿宋_GB2312" w:cs="仿宋_GB2312"/>
          <w:b w:val="0"/>
          <w:color w:val="333333"/>
          <w:sz w:val="32"/>
          <w:szCs w:val="32"/>
          <w:shd w:val="clear" w:fill="FFFFFF"/>
        </w:rPr>
        <w:t>《临沧市爱国卫生工作管理办法》已经市人民政府同意，现印发给你们，请认真贯彻执行。</w:t>
      </w:r>
    </w:p>
    <w:p>
      <w:pPr>
        <w:spacing w:line="240" w:lineRule="auto"/>
        <w:ind w:firstLine="640" w:firstLineChars="200"/>
        <w:rPr>
          <w:rFonts w:ascii="仿宋_GB2312" w:hAnsi="仿宋_GB2312" w:eastAsia="仿宋_GB2312" w:cs="仿宋_GB2312"/>
          <w:b w:val="0"/>
          <w:color w:val="333333"/>
          <w:sz w:val="32"/>
          <w:szCs w:val="32"/>
          <w:shd w:val="clear" w:fill="FFFFFF"/>
        </w:rPr>
      </w:pPr>
    </w:p>
    <w:p>
      <w:pPr>
        <w:spacing w:line="240" w:lineRule="auto"/>
        <w:ind w:firstLine="640" w:firstLineChars="200"/>
        <w:rPr>
          <w:rFonts w:ascii="仿宋_GB2312" w:hAnsi="仿宋_GB2312" w:eastAsia="仿宋_GB2312" w:cs="仿宋_GB2312"/>
          <w:b w:val="0"/>
          <w:color w:val="333333"/>
          <w:sz w:val="32"/>
          <w:szCs w:val="32"/>
          <w:shd w:val="clear" w:fill="FFFFFF"/>
        </w:rPr>
      </w:pPr>
    </w:p>
    <w:p>
      <w:pPr>
        <w:spacing w:line="240" w:lineRule="auto"/>
        <w:ind w:firstLine="640" w:firstLineChars="200"/>
        <w:rPr>
          <w:rFonts w:ascii="仿宋_GB2312" w:hAnsi="仿宋_GB2312" w:eastAsia="仿宋_GB2312" w:cs="仿宋_GB2312"/>
          <w:b w:val="0"/>
          <w:color w:val="333333"/>
          <w:sz w:val="32"/>
          <w:szCs w:val="32"/>
          <w:shd w:val="clear" w:fill="FFFFFF"/>
        </w:rPr>
      </w:pPr>
    </w:p>
    <w:p>
      <w:pPr>
        <w:wordWrap/>
        <w:spacing w:line="240" w:lineRule="auto"/>
        <w:ind w:firstLine="640" w:firstLineChars="200"/>
        <w:jc w:val="left"/>
        <w:rPr>
          <w:rFonts w:ascii="仿宋_GB2312" w:hAnsi="仿宋_GB2312" w:eastAsia="仿宋_GB2312" w:cs="仿宋_GB2312"/>
          <w:b w:val="0"/>
          <w:color w:val="333333"/>
          <w:sz w:val="32"/>
          <w:szCs w:val="32"/>
          <w:shd w:val="clear" w:fill="FFFFFF"/>
        </w:rPr>
      </w:pPr>
    </w:p>
    <w:p>
      <w:pPr>
        <w:wordWrap w:val="0"/>
        <w:spacing w:line="240" w:lineRule="auto"/>
        <w:ind w:firstLine="640" w:firstLineChars="200"/>
        <w:jc w:val="right"/>
        <w:rPr>
          <w:rFonts w:hint="eastAsia" w:ascii="仿宋_GB2312" w:hAnsi="仿宋_GB2312" w:eastAsia="仿宋_GB2312" w:cs="仿宋_GB2312"/>
          <w:b w:val="0"/>
          <w:color w:val="333333"/>
          <w:sz w:val="32"/>
          <w:szCs w:val="32"/>
          <w:shd w:val="clear" w:fill="FFFFFF"/>
          <w:lang w:val="en-US" w:eastAsia="zh-CN"/>
        </w:rPr>
      </w:pPr>
      <w:r>
        <w:rPr>
          <w:rFonts w:ascii="仿宋_GB2312" w:hAnsi="仿宋_GB2312" w:eastAsia="仿宋_GB2312" w:cs="仿宋_GB2312"/>
          <w:b w:val="0"/>
          <w:color w:val="333333"/>
          <w:sz w:val="32"/>
          <w:szCs w:val="32"/>
          <w:shd w:val="clear" w:fill="FFFFFF"/>
        </w:rPr>
        <w:t>2019年</w:t>
      </w:r>
      <w:r>
        <w:rPr>
          <w:rFonts w:hint="default" w:ascii="仿宋_GB2312" w:hAnsi="仿宋_GB2312" w:eastAsia="仿宋_GB2312" w:cs="仿宋_GB2312"/>
          <w:b w:val="0"/>
          <w:color w:val="333333"/>
          <w:sz w:val="32"/>
          <w:szCs w:val="32"/>
          <w:shd w:val="clear" w:fill="FFFFFF"/>
        </w:rPr>
        <w:t>6</w:t>
      </w:r>
      <w:r>
        <w:rPr>
          <w:rFonts w:ascii="仿宋_GB2312" w:hAnsi="仿宋_GB2312" w:eastAsia="仿宋_GB2312" w:cs="仿宋_GB2312"/>
          <w:b w:val="0"/>
          <w:color w:val="333333"/>
          <w:sz w:val="32"/>
          <w:szCs w:val="32"/>
          <w:shd w:val="clear" w:fill="FFFFFF"/>
        </w:rPr>
        <w:t>月</w:t>
      </w:r>
      <w:r>
        <w:rPr>
          <w:rFonts w:hint="default" w:ascii="仿宋_GB2312" w:hAnsi="仿宋_GB2312" w:eastAsia="仿宋_GB2312" w:cs="仿宋_GB2312"/>
          <w:b w:val="0"/>
          <w:color w:val="333333"/>
          <w:sz w:val="32"/>
          <w:szCs w:val="32"/>
          <w:shd w:val="clear" w:fill="FFFFFF"/>
        </w:rPr>
        <w:t>10</w:t>
      </w:r>
      <w:r>
        <w:rPr>
          <w:rFonts w:ascii="仿宋_GB2312" w:hAnsi="仿宋_GB2312" w:eastAsia="仿宋_GB2312" w:cs="仿宋_GB2312"/>
          <w:b w:val="0"/>
          <w:color w:val="333333"/>
          <w:sz w:val="32"/>
          <w:szCs w:val="32"/>
          <w:shd w:val="clear" w:fill="FFFFFF"/>
        </w:rPr>
        <w:t xml:space="preserve">日       </w:t>
      </w:r>
      <w:r>
        <w:rPr>
          <w:rFonts w:hint="eastAsia" w:ascii="仿宋_GB2312" w:hAnsi="仿宋_GB2312" w:eastAsia="仿宋_GB2312" w:cs="仿宋_GB2312"/>
          <w:b w:val="0"/>
          <w:color w:val="333333"/>
          <w:sz w:val="32"/>
          <w:szCs w:val="32"/>
          <w:shd w:val="clear" w:fill="FFFFFF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ascii="仿宋_GB2312" w:hAnsi="仿宋_GB2312" w:eastAsia="仿宋_GB2312" w:cs="仿宋_GB2312"/>
          <w:b w:val="0"/>
          <w:color w:val="333333"/>
          <w:sz w:val="32"/>
          <w:szCs w:val="32"/>
          <w:shd w:val="clear" w:fill="FFFFFF"/>
        </w:rPr>
        <w:t>（此件公开发布）</w:t>
      </w:r>
    </w:p>
    <w:p>
      <w:pP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br w:type="page"/>
      </w:r>
    </w:p>
    <w:p>
      <w:pPr>
        <w:bidi w:val="0"/>
        <w:jc w:val="center"/>
        <w:rPr>
          <w:rFonts w:hint="default" w:asciiTheme="minorEastAsia" w:hAnsiTheme="minorEastAsia" w:eastAsiaTheme="minorEastAsia" w:cstheme="minorEastAsia"/>
          <w:color w:val="auto"/>
          <w:sz w:val="44"/>
          <w:szCs w:val="44"/>
          <w:lang w:val="en-US" w:eastAsia="zh-CN"/>
        </w:rPr>
      </w:pPr>
    </w:p>
    <w:p>
      <w:pPr>
        <w:bidi w:val="0"/>
        <w:jc w:val="center"/>
        <w:rPr>
          <w:rFonts w:hint="default" w:asciiTheme="minorEastAsia" w:hAnsiTheme="minorEastAsia" w:eastAsiaTheme="minorEastAsia" w:cstheme="minorEastAsia"/>
          <w:color w:val="auto"/>
          <w:sz w:val="44"/>
          <w:szCs w:val="44"/>
          <w:lang w:val="en-US" w:eastAsia="zh-CN"/>
        </w:rPr>
      </w:pPr>
      <w:r>
        <w:rPr>
          <w:rFonts w:hint="default" w:asciiTheme="minorEastAsia" w:hAnsiTheme="minorEastAsia" w:eastAsiaTheme="minorEastAsia" w:cstheme="minorEastAsia"/>
          <w:color w:val="auto"/>
          <w:sz w:val="44"/>
          <w:szCs w:val="44"/>
          <w:lang w:val="en-US" w:eastAsia="zh-CN"/>
        </w:rPr>
        <w:t>临沧市爱国卫生工作管理办法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eastAsia="方正楷体_GBK"/>
          <w:b/>
          <w:spacing w:val="9"/>
          <w:kern w:val="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0" w:firstLineChars="0"/>
        <w:jc w:val="center"/>
        <w:textAlignment w:val="auto"/>
        <w:rPr>
          <w:rFonts w:hint="default" w:ascii="黑体" w:hAnsi="黑体" w:eastAsia="黑体" w:cs="黑体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default" w:ascii="黑体" w:hAnsi="黑体" w:eastAsia="黑体" w:cs="黑体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第一章</w:t>
      </w:r>
      <w:r>
        <w:rPr>
          <w:rFonts w:hint="eastAsia" w:ascii="黑体" w:hAnsi="黑体" w:eastAsia="黑体" w:cs="黑体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 xml:space="preserve"> </w:t>
      </w:r>
      <w:r>
        <w:rPr>
          <w:rFonts w:hint="default" w:ascii="黑体" w:hAnsi="黑体" w:eastAsia="黑体" w:cs="黑体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 xml:space="preserve"> 总</w:t>
      </w:r>
      <w:r>
        <w:rPr>
          <w:rFonts w:hint="eastAsia" w:ascii="黑体" w:hAnsi="黑体" w:eastAsia="黑体" w:cs="黑体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 xml:space="preserve">  </w:t>
      </w:r>
      <w:r>
        <w:rPr>
          <w:rFonts w:hint="default" w:ascii="黑体" w:hAnsi="黑体" w:eastAsia="黑体" w:cs="黑体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黑体" w:hAnsi="黑体" w:eastAsia="黑体" w:cs="黑体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第一条</w:t>
      </w:r>
      <w:r>
        <w:rPr>
          <w:rFonts w:hint="default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 xml:space="preserve">  为加强我市城乡爱国卫生管理，营造“整洁有序、健康优美”的生产生活环境，保障人民群众身心健康，促进临沧经济社会持续健康发展，根据《国务院关于进一步加强新时期爱国卫生工作的意见》（国发〔2014〕66号）、《国家卫生城市标准（2014年版）》及相关法律法规、文件精神，结合临沧实际，制定本办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default" w:ascii="黑体" w:hAnsi="黑体" w:eastAsia="黑体" w:cs="黑体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第二条</w:t>
      </w:r>
      <w:r>
        <w:rPr>
          <w:rFonts w:hint="default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 xml:space="preserve">  爱国卫生工作是指以强化公众卫生意识，预防和控制疾病，减少和消除危害健康因素，改善环境卫生，提高环境质量，倡导文明卫生习惯，提高人民健康水平为目的，由政府组织、全社会参与的群众性卫生活动。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default" w:ascii="黑体" w:hAnsi="黑体" w:eastAsia="黑体" w:cs="黑体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 xml:space="preserve">第三条 </w:t>
      </w:r>
      <w:r>
        <w:rPr>
          <w:rFonts w:hint="default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 xml:space="preserve"> 本办法适用于全市范围内的爱国卫生管理工作。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default" w:ascii="黑体" w:hAnsi="黑体" w:eastAsia="黑体" w:cs="黑体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第四条</w:t>
      </w:r>
      <w:r>
        <w:rPr>
          <w:rFonts w:hint="default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 xml:space="preserve">  坚持“以人民健康为中心，政府主导，部门协作，全社会动员，预防为主，群防群控，依法科学治理，全民共建共享”的新时期爱国卫生工作方针，遵循“政府组织、属地负责，部门牵头、齐抓共管，坚持标准、协调推进，群众参与、科学治理”的工作原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default" w:ascii="黑体" w:hAnsi="黑体" w:eastAsia="黑体" w:cs="黑体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第五条</w:t>
      </w:r>
      <w:r>
        <w:rPr>
          <w:rFonts w:hint="default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 xml:space="preserve">  各级政府应加强对爱国卫生工作的领导，把爱国卫生工作纳入地方经济社会发展规划，列入政府重要议事日程，写入政府工作报告，经费列入同级财政预算。将爱国卫生工作纳入政府综合目标考核，考核结果作为综合考评领导班子和领导干部的重要依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0" w:firstLineChars="0"/>
        <w:jc w:val="center"/>
        <w:textAlignment w:val="auto"/>
        <w:rPr>
          <w:rFonts w:hint="default" w:ascii="黑体" w:hAnsi="黑体" w:eastAsia="黑体" w:cs="黑体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default" w:ascii="黑体" w:hAnsi="黑体" w:eastAsia="黑体" w:cs="黑体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第二章  机构与职责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default" w:ascii="黑体" w:hAnsi="黑体" w:eastAsia="黑体" w:cs="黑体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第六条</w:t>
      </w:r>
      <w:r>
        <w:rPr>
          <w:rFonts w:hint="default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 xml:space="preserve">  为切实加强对全市爱国卫生工作的组织领导，成立临沧市爱国卫生运动委员会（以下简称“市爱卫会”），主要负责全市爱国卫生、卫生创建、病媒生物防制、健康教育和健康促进等工作的领导、组织和协调。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default" w:ascii="黑体" w:hAnsi="黑体" w:eastAsia="黑体" w:cs="黑体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 xml:space="preserve">第七条 </w:t>
      </w:r>
      <w:r>
        <w:rPr>
          <w:rFonts w:hint="default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 xml:space="preserve"> 市爱卫会由市人民政府分管领导任主任，有关部门和单位负责人为成员，明确爱国卫生工作成员单位职责分工，实行成员单位分工负责制。各县（区）政府（管委会）、各成员单位应当按照职责分工，认真履行职责，切实承担起本辖区、本单位的各项爱国卫生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default" w:ascii="黑体" w:hAnsi="黑体" w:eastAsia="黑体" w:cs="黑体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第八条</w:t>
      </w:r>
      <w:r>
        <w:rPr>
          <w:rFonts w:hint="default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 xml:space="preserve">  市爱卫会下设办公室（以下简称“市爱卫办”）在市卫生健康委员会，承担爱国卫生日常工作。职责如下：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default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（一）宣</w:t>
      </w:r>
      <w:r>
        <w:rPr>
          <w:rFonts w:hint="default" w:ascii="仿宋_GB2312" w:hAnsi="仿宋_GB2312" w:eastAsia="仿宋_GB2312" w:cs="仿宋_GB2312"/>
          <w:i w:val="0"/>
          <w:caps w:val="0"/>
          <w:color w:val="333333"/>
          <w:spacing w:val="-11"/>
          <w:sz w:val="32"/>
          <w:szCs w:val="32"/>
          <w:shd w:val="clear" w:fill="FFFFFF"/>
          <w:lang w:val="en-US" w:eastAsia="zh-CN"/>
        </w:rPr>
        <w:t>传贯彻爱国卫生工作的相关法律、法规、规章和政策；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default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（二）制定本行政区域内爱国卫生工作规划、年度计划，并认真组织实施，开展监督、检查、指导和考核评价；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default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（三）组织动员全社会参与爱国卫生运动和开展卫生城市、卫生县城、卫生乡镇（街道）、卫生村（社区）、卫生单位及卫生家庭创建工作；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default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（四）协调有关部门制定重大疫情、中毒事故等突发公共卫生事件的防治措施和应急预案；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default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（五）深入广泛开展健康教育，普及卫生知识，提高全民卫生素质与健康素养水平；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default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（六）发动广大人民群众深入广泛开展病媒生物（鼠、蚊、蝇、蟑螂）防制活动；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default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（七）指导、检查各县（区）、市级各部门开展爱国卫生工作，对社会卫生状况进行监督、评价；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default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（八）完成市人民政府和市爱卫会交办的其他有关爱国卫生工作。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default" w:ascii="黑体" w:hAnsi="黑体" w:eastAsia="黑体" w:cs="黑体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第九条</w:t>
      </w:r>
      <w:r>
        <w:rPr>
          <w:rFonts w:hint="default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 xml:space="preserve">  各县（区）应当成立爱卫会，下设爱卫办，配备专兼职爱国卫生工作人员；各级各部门、各类企业均应建立爱国卫生组织领导和工作机构，明确专人负责爱国卫生工作，保障必要的经费投入。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default" w:ascii="黑体" w:hAnsi="黑体" w:eastAsia="黑体" w:cs="黑体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 xml:space="preserve">第十条 </w:t>
      </w:r>
      <w:r>
        <w:rPr>
          <w:rFonts w:hint="default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 xml:space="preserve"> 各级爱卫办、各成员单位应当畅通爱国卫生建议与投诉平台，认真核实和解决群众反映的问题。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0" w:firstLineChars="0"/>
        <w:jc w:val="center"/>
        <w:textAlignment w:val="auto"/>
        <w:rPr>
          <w:rFonts w:hint="default" w:ascii="黑体" w:hAnsi="黑体" w:eastAsia="黑体" w:cs="黑体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default" w:ascii="黑体" w:hAnsi="黑体" w:eastAsia="黑体" w:cs="黑体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第三章  监督管理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default" w:ascii="黑体" w:hAnsi="黑体" w:eastAsia="黑体" w:cs="黑体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第十一条</w:t>
      </w:r>
      <w:r>
        <w:rPr>
          <w:rFonts w:hint="default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 xml:space="preserve">  爱国卫生工作实行目标管理责任制。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default" w:ascii="黑体" w:hAnsi="黑体" w:eastAsia="黑体" w:cs="黑体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第十二条</w:t>
      </w:r>
      <w:r>
        <w:rPr>
          <w:rFonts w:hint="default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 xml:space="preserve">  爱国卫生工作实行全民爱国卫生义务劳动、全民动手日、爱国卫生月、卫生责任区、卫生单位检查评比等制度。市爱卫会通过监督检查和评比活动，督促各县（区）、各部门开展爱国卫生工作。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default" w:ascii="黑体" w:hAnsi="黑体" w:eastAsia="黑体" w:cs="黑体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第十三条</w:t>
      </w:r>
      <w:r>
        <w:rPr>
          <w:rFonts w:hint="default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 xml:space="preserve">  爱国卫生工作实行专门监督与社会监督相结合的监督制度。市、县（区）爱卫会根据工作需要，可聘任爱国卫生监督员，承担爱国卫生的指导和监督工作。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default" w:ascii="黑体" w:hAnsi="黑体" w:eastAsia="黑体" w:cs="黑体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第十四条</w:t>
      </w:r>
      <w:r>
        <w:rPr>
          <w:rFonts w:hint="default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 xml:space="preserve">  各县（区）人民政府、市级各相关部门应按照《国家卫生城市标准（2014）》《国家卫生乡镇（县城）标准》，加强公共卫生基础设施规划、建设和改造，实施污水、污物、粪便无害化处理，加强生态环境保护，健全、落实各项市容环境卫生管理制度，实施环境卫生综合整治，提高城市建成区卫生水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default" w:ascii="黑体" w:hAnsi="黑体" w:eastAsia="黑体" w:cs="黑体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第十五条</w:t>
      </w:r>
      <w:r>
        <w:rPr>
          <w:rFonts w:hint="default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 xml:space="preserve">  各县（区）应结合村镇规划建设，以改善农村饮水卫生条件、推进厕所革命、治理生活污水、生活垃圾和搞好环境卫生为重点，积极开展国家卫生乡镇及省、市级卫生乡村创建。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default" w:ascii="黑体" w:hAnsi="黑体" w:eastAsia="黑体" w:cs="黑体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第十六条</w:t>
      </w:r>
      <w:r>
        <w:rPr>
          <w:rFonts w:hint="default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 xml:space="preserve">  在城市建成区范围内，推动各机关和企事业单位（含学校、医院、商场、市场等）积极参与驻地街道及社区卫生整治等活动，协同提升街道、社区爱国卫生工作水平。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default" w:ascii="黑体" w:hAnsi="黑体" w:eastAsia="黑体" w:cs="黑体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第十七条</w:t>
      </w:r>
      <w:r>
        <w:rPr>
          <w:rFonts w:hint="default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 xml:space="preserve">  各行业主管部门应当坚持“管行业必须管卫生”的原则，加强对本行业、本系统爱国卫生工作的组织和督促指导。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default" w:ascii="黑体" w:hAnsi="黑体" w:eastAsia="黑体" w:cs="黑体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第十八条</w:t>
      </w:r>
      <w:r>
        <w:rPr>
          <w:rFonts w:hint="default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 xml:space="preserve">  县（区）及以下爱卫办应当制订卫生创建计划，组织卫生单位、卫生乡镇（街道）、卫生村（社区）、卫生家庭等各</w:t>
      </w:r>
      <w:r>
        <w:rPr>
          <w:rFonts w:hint="default" w:ascii="仿宋_GB2312" w:hAnsi="仿宋_GB2312" w:eastAsia="仿宋_GB2312" w:cs="仿宋_GB2312"/>
          <w:i w:val="0"/>
          <w:caps w:val="0"/>
          <w:color w:val="333333"/>
          <w:spacing w:val="-6"/>
          <w:sz w:val="32"/>
          <w:szCs w:val="32"/>
          <w:shd w:val="clear" w:fill="FFFFFF"/>
          <w:lang w:val="en-US" w:eastAsia="zh-CN"/>
        </w:rPr>
        <w:t>级各类卫生创建活动，在城乡广泛开展爱国卫生宣传教育活动。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default" w:ascii="黑体" w:hAnsi="黑体" w:eastAsia="黑体" w:cs="黑体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第十九条</w:t>
      </w:r>
      <w:r>
        <w:rPr>
          <w:rFonts w:hint="default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 xml:space="preserve">  医疗卫生机构、生物制品厂、制药厂、屠宰场等产生的所有有毒、有害废弃物，必须进行无害化处理。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0" w:firstLineChars="0"/>
        <w:jc w:val="center"/>
        <w:textAlignment w:val="auto"/>
        <w:rPr>
          <w:rFonts w:hint="default" w:ascii="黑体" w:hAnsi="黑体" w:eastAsia="黑体" w:cs="黑体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default" w:ascii="黑体" w:hAnsi="黑体" w:eastAsia="黑体" w:cs="黑体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第四章  日常管理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default" w:ascii="黑体" w:hAnsi="黑体" w:eastAsia="黑体" w:cs="黑体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第二十条</w:t>
      </w:r>
      <w:r>
        <w:rPr>
          <w:rFonts w:hint="default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 xml:space="preserve">  各单位（机关、部队、团体、企事业单位及其他组织）、家庭和个人应按照属地管理要求和卫生标准，健全卫生制度，加强日常管理，搞好室内外环境卫生，倡导家庭和睦、文明和谐的良好家风，注重个人卫生，维护公共卫生秩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default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（一）落实环境卫生责任制度，保持卫生状况良好；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default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（二）规范设置垃圾收集容器等环卫设施，并定期保洁维护；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default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（三）垃圾收集实行分类袋化管理，日产日清；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default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（四）室内外环境卫生清洁，楼道整洁，门窗无破损，无乱堆乱放、乱搭乱建、乱贴乱画等现象，无暴露垃圾和卫生死角；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default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（五）公共场所、单位食堂防鼠、防蝇、防蟑、防蚊设施完善，环境清洁卫生，达到标准要求；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default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（六）厕所清洁卫生，防蚊蝇设施完善，无蝇无蛆，无积粪，无尿碱，排污管道通畅，基本无异臭味；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default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（七）单位环境达到净化、硬化、绿化、美化、有序化要求；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default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（八）积极开展病媒生物防制并达到国家规定的标准;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default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（九）积极参加辖区组织的爱国卫生运动，落实责任区包保责任。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default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（十）注重培育良好家风，明礼诚信，讲究个人卫生，推广“三减三健”，养成文明、健康生活方式。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default" w:ascii="黑体" w:hAnsi="黑体" w:eastAsia="黑体" w:cs="黑体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 xml:space="preserve">第二十一条 </w:t>
      </w:r>
      <w:r>
        <w:rPr>
          <w:rFonts w:hint="default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 xml:space="preserve"> 住房城乡建设、市场监管等部门应加强城中村、集贸市场、城乡结合部爱国卫生工作管理，建立健全各项卫生制度，维护良好的环境卫生。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default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（一）落实专人管理，制定卫生保洁制度，做到每日清扫，专人保洁；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default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（二）合理、规范设置果皮箱、垃圾收集箱、垃圾转运站和公共厕所等卫生设施；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default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（三）垃圾实施分类袋装化、桶装化、密闭化管理，定点收集、统一运输、日产日清；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default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（四）公共厕所数量达标，专人管理，内外环境清洁卫生；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default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（五）污水排放设施完善，无明沟排污现象；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default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（六）加强基础设施建设和环境综合整治、社会秩序整治，无乱搭乱建、乱堆乱摆、乱停乱放、乱贴乱画、乱排乱倒等现象；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default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（七）城中村、城乡结合部道路硬化平整，无坑洼、积水及泥土裸露；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default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（八）居民饮用水安全卫生，使用无害化卫生厕所；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default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（九）公共场地不得放养犬类和其它家禽；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default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（十）病媒生物防制工作达到国家规定标准。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default" w:ascii="黑体" w:hAnsi="黑体" w:eastAsia="黑体" w:cs="黑体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第二十二条</w:t>
      </w:r>
      <w:r>
        <w:rPr>
          <w:rFonts w:hint="default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 xml:space="preserve">  单位、家庭和个人应服从卫生管理指导，接受督促检查，遵守村规民约，按照管理规定，搞好室内外环境卫生，爱护城市环境卫生。禁止下列行为：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default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（一）随地吐痰、便溺，乱扔果皮、纸屑、烟头及各种</w:t>
      </w:r>
      <w:r>
        <w:rPr>
          <w:rFonts w:hint="default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fldChar w:fldCharType="begin"/>
      </w:r>
      <w:r>
        <w:rPr>
          <w:rFonts w:hint="default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instrText xml:space="preserve"> HYPERLINK "https://baike.baidu.com/item/%E9%A3%9F%E5%93%81%E5%8C%85%E8%A3%85" \t "_blank" </w:instrText>
      </w:r>
      <w:r>
        <w:rPr>
          <w:rFonts w:hint="default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fldChar w:fldCharType="separate"/>
      </w:r>
      <w:r>
        <w:rPr>
          <w:rFonts w:hint="default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食品包装</w:t>
      </w:r>
      <w:r>
        <w:rPr>
          <w:rFonts w:hint="default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fldChar w:fldCharType="end"/>
      </w:r>
      <w:r>
        <w:rPr>
          <w:rFonts w:hint="default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等废弃物；河道内乱倒粪便、生活垃圾、建筑垃圾以及种植农作物；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default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（二）乱贴乱画、乱搭乱建，乱倒生活垃圾、建筑渣土、废弃物、污水、粪便或者焚烧垃圾、废弃物等；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default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（三）违反规定饲养家畜、家禽，城区内公共场地放养犬类和其他家禽。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default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（四）携带犬、猫等动物乘坐公共交通工具（导盲犬除外），或进入依法禁止进入的公共场所；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default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（五）玷污、损坏公共卫生设施及其他损害公共卫生的不文明行为。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default" w:ascii="黑体" w:hAnsi="黑体" w:eastAsia="黑体" w:cs="黑体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第二十三条</w:t>
      </w:r>
      <w:r>
        <w:rPr>
          <w:rFonts w:hint="default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 xml:space="preserve">  食品生产经营单位和美容美发、旅店、歌舞厅、公共浴室等公共场所的硬件设施、从业人员培训和卫生管理等，符合食品安全和公共场所卫生管理要求。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default" w:ascii="黑体" w:hAnsi="黑体" w:eastAsia="黑体" w:cs="黑体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第二十四条</w:t>
      </w:r>
      <w:r>
        <w:rPr>
          <w:rFonts w:hint="default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 xml:space="preserve">  各县（区）、各部门（单位）要建立政府组织与全社会参与相结合的病媒生物防控机制，病媒生物防制要达到国家规定的标准。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default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（一）各县（区）、各部门（单位）应当有病媒生物防制专兼职人员；疾控中心应当有病媒生物防制专业人员，做好病媒生物密度的监测及病媒生物防制的技术指导工作；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default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（二）市、县（区）爱卫会应当动员社会力量，发动各部门、各单位和群众共同参与区域内春秋季灭鼠，夏季灭蚊蝇、灭蟑螂等爱国卫生运动；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default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（三）各县（区）、各部门（单位）应当切实履行病媒生物防制职责，组织开展病媒生物防制活动，推行PCO公司专业化防制，开展孳生地调查和治理，消除其孳生环境条件，有效控制病媒生物密度；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default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（四）在农贸市场、餐饮单位、食品加工企业等重点行业、重点场所要加强防蚊蝇和防鼠设施建设，提高合格率和利用率；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default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（五）实施棚户区改造工程房屋拆除前，应当按相关规定开展灭防活动；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default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（六）市场监管、卫生健康、农业农村、公安等有关部门应按职责分工对灭杀病媒生物药品、器械进行依法管理，禁止任何单位、个人非法生产、销售、使用剧毒急性鼠药。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default" w:ascii="黑体" w:hAnsi="黑体" w:eastAsia="黑体" w:cs="黑体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第二十五条</w:t>
      </w:r>
      <w:r>
        <w:rPr>
          <w:rFonts w:hint="default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 xml:space="preserve">  完善由政府领导、多部门合作、全社会参与的健康促进与健康教育工作体系，健全健康教育工作网络，广泛开展全民健身活动，全面开展健康教育和健康促进活动，增强全民卫生意识，提高全民健康水平。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default" w:ascii="黑体" w:hAnsi="黑体" w:eastAsia="黑体" w:cs="黑体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 xml:space="preserve">第二十六条 </w:t>
      </w:r>
      <w:r>
        <w:rPr>
          <w:rFonts w:hint="default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 xml:space="preserve"> 提倡全民戒烟，广泛开展吸烟有害健康宣传，积极创建无烟单位。严格执行国家和地方关于禁烟、控烟的有关规定，落实控烟措施，开展群众性控烟工作。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default" w:ascii="黑体" w:hAnsi="黑体" w:eastAsia="黑体" w:cs="黑体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第二十七条</w:t>
      </w:r>
      <w:r>
        <w:rPr>
          <w:rFonts w:hint="default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 xml:space="preserve">  各类车辆应按照规定行驶、停放，公共交通工具应当定期清洗、消毒。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default" w:ascii="黑体" w:hAnsi="黑体" w:eastAsia="黑体" w:cs="黑体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第二十八条</w:t>
      </w:r>
      <w:r>
        <w:rPr>
          <w:rFonts w:hint="default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 xml:space="preserve">  应当加强公园广场、旅游景区、早夜市、建筑物立面、河道沟渠、市政设施、环卫设施、集贸市场、</w:t>
      </w:r>
      <w:r>
        <w:rPr>
          <w:rFonts w:hint="default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fldChar w:fldCharType="begin"/>
      </w:r>
      <w:r>
        <w:rPr>
          <w:rFonts w:hint="default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instrText xml:space="preserve"> HYPERLINK "https://baike.baidu.com/item/%E5%81%9C%E8%BD%A6%E5%9C%BA" \t "_blank" </w:instrText>
      </w:r>
      <w:r>
        <w:rPr>
          <w:rFonts w:hint="default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fldChar w:fldCharType="separate"/>
      </w:r>
      <w:r>
        <w:rPr>
          <w:rFonts w:hint="default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停车场</w:t>
      </w:r>
      <w:r>
        <w:rPr>
          <w:rFonts w:hint="default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fldChar w:fldCharType="end"/>
      </w:r>
      <w:r>
        <w:rPr>
          <w:rFonts w:hint="default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、窗口单位及其他影响城乡卫生质量的部位和区域的卫生管理，确保管理符合相关卫生要求。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0" w:firstLineChars="0"/>
        <w:jc w:val="center"/>
        <w:textAlignment w:val="auto"/>
        <w:rPr>
          <w:rFonts w:hint="default" w:ascii="黑体" w:hAnsi="黑体" w:eastAsia="黑体" w:cs="黑体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default" w:ascii="黑体" w:hAnsi="黑体" w:eastAsia="黑体" w:cs="黑体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第五章  奖惩规定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default" w:ascii="黑体" w:hAnsi="黑体" w:eastAsia="黑体" w:cs="黑体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第二十九条</w:t>
      </w:r>
      <w:r>
        <w:rPr>
          <w:rFonts w:hint="default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 xml:space="preserve">  市、县（区）人民政府或爱卫会对在爱国卫生工作中做出显著成绩的单位，给予相应的表彰；对在爱国卫生工作中做出显著成绩的个人，给予相应的奖励。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default" w:ascii="黑体" w:hAnsi="黑体" w:eastAsia="黑体" w:cs="黑体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第三十条</w:t>
      </w:r>
      <w:r>
        <w:rPr>
          <w:rFonts w:hint="default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 xml:space="preserve">  对已获得爱国卫生荣誉称号的，经查实有弄虚作假行为或工作下滑严重，群众意见较大，已不符合爱国卫生荣誉称号条件的，由市爱卫会取消其荣誉称号或报上级部门取消其荣誉称号。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default" w:ascii="黑体" w:hAnsi="黑体" w:eastAsia="黑体" w:cs="黑体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 xml:space="preserve">第三十一条 </w:t>
      </w:r>
      <w:r>
        <w:rPr>
          <w:rFonts w:hint="default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 xml:space="preserve"> 对爱国卫生工作职责和义务履行不到位、未建立制度或制度不落实、弄虚作假搞形式主义等违反爱国卫生工作规定的单位和个人，由爱卫会通报批评。对违反爱国卫生管理规定，推诿扯皮、玩忽职守、不负责任，造成重大工作失误的，由爱卫会给予批评教育，并责令其限期改正；情节严重的，报请有关部门追究相关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default" w:ascii="黑体" w:hAnsi="黑体" w:eastAsia="黑体" w:cs="黑体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第三十二条</w:t>
      </w:r>
      <w:r>
        <w:rPr>
          <w:rFonts w:hint="default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 xml:space="preserve">  爱国卫生监督员应当恪守职业道德，依法依规执行公务。对玩忽职守、滥用职权、徇私舞弊的，由有关部门给予行政处分；涉嫌构成犯罪的，移送司法机关处理。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default" w:ascii="黑体" w:hAnsi="黑体" w:eastAsia="黑体" w:cs="黑体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第三十三条</w:t>
      </w:r>
      <w:r>
        <w:rPr>
          <w:rFonts w:hint="default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 xml:space="preserve">  对阻碍、拒绝爱国卫生综合执法人员依法执行公务或者打击报复举报人员，违反社会治安管理法律法规的，由公安机关依法予以行政处罚；涉嫌犯罪的移送司法机关处理。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0" w:firstLineChars="0"/>
        <w:jc w:val="center"/>
        <w:textAlignment w:val="auto"/>
        <w:rPr>
          <w:rFonts w:hint="default" w:ascii="黑体" w:hAnsi="黑体" w:eastAsia="黑体" w:cs="黑体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default" w:ascii="黑体" w:hAnsi="黑体" w:eastAsia="黑体" w:cs="黑体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第六章  附  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default" w:ascii="黑体" w:hAnsi="黑体" w:eastAsia="黑体" w:cs="黑体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第三十四条</w:t>
      </w:r>
      <w:r>
        <w:rPr>
          <w:rFonts w:hint="default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 xml:space="preserve">  本办法在实施过程中根据实际情况适时修改完善。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b/>
          <w:color w:val="auto"/>
          <w:spacing w:val="0"/>
          <w:kern w:val="2"/>
          <w:sz w:val="32"/>
          <w:szCs w:val="32"/>
          <w:shd w:val="clear" w:color="auto" w:fill="auto"/>
          <w:lang w:val="en-US" w:eastAsia="zh-CN"/>
        </w:rPr>
      </w:pPr>
      <w:r>
        <w:rPr>
          <w:rFonts w:hint="default" w:ascii="黑体" w:hAnsi="黑体" w:eastAsia="黑体" w:cs="黑体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第三十五条</w:t>
      </w:r>
      <w:r>
        <w:rPr>
          <w:rFonts w:hint="default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 xml:space="preserve">  本办法自2019年7月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10</w:t>
      </w:r>
      <w:r>
        <w:rPr>
          <w:rFonts w:hint="default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日起施行，有效期至2024年7月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9</w:t>
      </w:r>
      <w:r>
        <w:rPr>
          <w:rFonts w:hint="default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日。</w:t>
      </w: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962" w:right="1474" w:bottom="1848" w:left="1587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left="4788" w:leftChars="2280" w:firstLine="6400" w:firstLineChars="2000"/>
      <w:rPr>
        <w:rFonts w:hint="eastAsia" w:eastAsia="仿宋"/>
        <w:sz w:val="32"/>
        <w:szCs w:val="48"/>
        <w:lang w:val="en-US" w:eastAsia="zh-CN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2336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DmyYHKEgIAABMEAAAOAAAAZHJz&#10;L2Uyb0RvYy54bWytU02O0zAY3SNxB8t7mrSIUVQ1HZUZFSFVzEgFsXYdp4nkP9luk3IAuAErNuw5&#10;V8/Bs9N0ELBCbJwXf//ve17c9kqSo3C+Nbqk00lOidDcVK3el/TD+/WLghIfmK6YNFqU9CQ8vV0+&#10;f7bo7FzMTGNkJRxBEu3nnS1pE4KdZ5nnjVDMT4wVGsbaOMUCft0+qxzrkF3JbJbnN1lnXGWd4cJ7&#10;3N4PRrpM+eta8PBQ114EIkuK3kI6XTp38cyWCzbfO2abll/aYP/QhWKtRtFrqnsWGDm49o9UquXO&#10;eFOHCTcqM3XdcpFmwDTT/Ldptg2zIs0Ccry90uT/X1r+7vjoSFuVFIvSTGFF569fzt9+nL9/JkWk&#10;p7N+Dq+thV/oX5seax7vPS7j1H3tVPxiHgI7iD5dyRV9IDwGFbOiyGHisI0/yJ89hVvnwxthFImg&#10;pA7bS6Sy48aHwXV0idW0WbdSpg1KTbqS3rx8laeAqwXJpUaNOMTQbESh3/WXyXamOmEwZwZleMvX&#10;LYpvmA+PzEEKaBjyDg84amlQxFwQJY1xn/52H/2xIVgp6SCtkmponxL5VmNzUYUjcCPYjUAf1J2B&#10;Vqd4NpYniAAX5AhrZ9RHaH4Va8DENEelkoYR3oVB3ngzXKxWyelgXbtvhgDozrKw0VvLY5lIpLer&#10;QwCZieNI0MDKhTcoL23p8kqitH/9T15Pb3n5E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BYAAABkcnMvUEsBAhQAFAAAAAgAh07iQLNJWO7Q&#10;AAAABQEAAA8AAAAAAAAAAQAgAAAAOAAAAGRycy9kb3ducmV2LnhtbFBLAQIUABQAAAAIAIdO4kDm&#10;yYHKEgIAABMEAAAOAAAAAAAAAAEAIAAAADUBAABkcnMvZTJvRG9jLnhtbFBLBQYAAAAABgAGAFkB&#10;AAC5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仿宋"/>
        <w:sz w:val="32"/>
        <w:szCs w:val="48"/>
        <w:lang w:val="en-US" w:eastAsia="zh-CN"/>
      </w:rPr>
      <w:t xml:space="preserve">  </w:t>
    </w:r>
  </w:p>
  <w:p>
    <w:pPr>
      <w:pStyle w:val="5"/>
      <w:wordWrap w:val="0"/>
      <w:ind w:left="4788" w:leftChars="2280" w:firstLine="6400" w:firstLineChars="2000"/>
      <w:jc w:val="right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  <w:r>
      <w:rPr>
        <w:color w:val="FAFAFA"/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74295</wp:posOffset>
              </wp:positionV>
              <wp:extent cx="5616575" cy="1905"/>
              <wp:effectExtent l="0" t="10795" r="3175" b="15875"/>
              <wp:wrapNone/>
              <wp:docPr id="5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1905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.85pt;height:0.15pt;width:442.25pt;z-index:251661312;mso-width-relative:page;mso-height-relative:page;" filled="f" stroked="t" coordsize="21600,21600" o:gfxdata="UEsFBgAAAAAAAAAAAAAAAAAAAAAAAFBLAwQKAAAAAACHTuJAAAAAAAAAAAAAAAAABAAAAGRycy9Q&#10;SwMEFAAAAAgAh07iQPOnpdHUAAAABgEAAA8AAABkcnMvZG93bnJldi54bWxNj81OwzAQhO9IvIO1&#10;lbhRO+EvSuNUIhIn4EALdzd246jx2rLdpLw9ywmOM7Oa+bbZXtzEZhPT6FFCsRbADPZejzhI+Ny/&#10;3FbAUlao1eTRSPg2Cbbt9VWjau0X/DDzLg+MSjDVSoLNOdScp94ap9LaB4OUHX10KpOMA9dRLVTu&#10;Jl4K8cidGpEWrAqms6Y/7c5OQvcays6+75dYPqe3Yb6bwvH0JeXNqhAbYNlc8t8x/OITOrTEdPBn&#10;1IlNEuiRTG7xBIzSqrp/AHYgoxTA24b/x29/AFBLAwQUAAAACACHTuJArqM64M0BAABnAwAADgAA&#10;AGRycy9lMm9Eb2MueG1srVNLjhMxEN0jcQfLe9KdSB1mWunMYqJhgyAScICK2+625J9cJp1cggsg&#10;sYMVS/bchuEYlJ2Q4bNDeFFt1+eV33P16uZgDdvLiNq7js9nNWfSCd9rN3T8zeu7J1ecYQLXg/FO&#10;dvwokd+sHz9aTaGVCz9608vICMRhO4WOjymFtqpQjNICznyQjoLKRwuJjnGo+ggToVtTLep6WU0+&#10;9iF6IRHJuzkF+brgKyVFeqkUysRMx+luqdhY7C7bar2CdogQRi3O14B/uIUF7ajpBWoDCdjbqP+C&#10;slpEj16lmfC28kppIQsHYjOv/2DzaoQgCxcSB8NFJvx/sOLFfhuZ7jvecObA0hPdv//y7d3H718/&#10;kL3//Ik1WaQpYEu5t24bzycM25gZH1S0+Utc2KEIe7wIKw+JCXI2y/myeUodBMXm13WBrB5qQ8T0&#10;THrL8qbjRrtMG1rYP8dE/Sj1Z0p2O3+njSlPZxybOr6gldGBJkgZSLS1gTihGzgDM9BoihQLJHqj&#10;+1yegTAOu1sT2R7yeNTN/HqRyVK739Jy7w3geMorodPgWJ1oeo22Hb+q8zpXG0cgWbKTSHm38/2x&#10;aFf89JqlzXny8rj8ei7VD//H+gd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WAAAAZHJzL1BLAQIUABQAAAAIAIdO4kDzp6XR1AAAAAYBAAAP&#10;AAAAAAAAAAEAIAAAADgAAABkcnMvZG93bnJldi54bWxQSwECFAAUAAAACACHTuJArqM64M0BAABn&#10;AwAADgAAAAAAAAABACAAAAA5AQAAZHJzL2Uyb0RvYy54bWxQSwUGAAAAAAYABgBZAQAAeAUAAAAA&#10;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 w:eastAsia="仿宋"/>
        <w:color w:val="FAFAFA"/>
        <w:sz w:val="32"/>
        <w:szCs w:val="48"/>
        <w:lang w:val="en-US" w:eastAsia="zh-CN"/>
      </w:rPr>
      <w:t>X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  <w:t xml:space="preserve">临沧市人民政府发布     </w:t>
    </w:r>
  </w:p>
  <w:p>
    <w:pPr>
      <w:pStyle w:val="5"/>
      <w:wordWrap w:val="0"/>
      <w:ind w:left="4788" w:leftChars="2280" w:firstLine="5621" w:firstLineChars="2000"/>
      <w:jc w:val="right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宋体" w:hAnsi="宋体" w:eastAsia="宋体" w:cs="宋体"/>
        <w:b/>
        <w:bCs/>
        <w:color w:val="005192"/>
        <w:sz w:val="32"/>
      </w:rPr>
    </w:pPr>
    <w:r>
      <w:rPr>
        <w:rFonts w:hint="eastAsia" w:ascii="宋体" w:hAnsi="宋体" w:eastAsia="宋体" w:cs="宋体"/>
        <w:b/>
        <w:bCs/>
        <w:color w:val="005192"/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-3810</wp:posOffset>
              </wp:positionH>
              <wp:positionV relativeFrom="paragraph">
                <wp:posOffset>690245</wp:posOffset>
              </wp:positionV>
              <wp:extent cx="5620385" cy="0"/>
              <wp:effectExtent l="0" t="12700" r="18415" b="15875"/>
              <wp:wrapNone/>
              <wp:docPr id="4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133850" y="864870"/>
                        <a:ext cx="562038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-0.3pt;margin-top:54.35pt;height:0pt;width:442.55pt;z-index:251660288;mso-width-relative:page;mso-height-relative:page;" filled="f" stroked="t" coordsize="21600,21600" o:gfxdata="UEsFBgAAAAAAAAAAAAAAAAAAAAAAAFBLAwQKAAAAAACHTuJAAAAAAAAAAAAAAAAABAAAAGRycy9Q&#10;SwMEFAAAAAgAh07iQNRHQNbVAAAACQEAAA8AAABkcnMvZG93bnJldi54bWxNj8FOwzAQRO9I/IO1&#10;SNxauwFKFOJUIhIn4EALdzd246jx2rLdpPw9i4REjzszmn1Tb85uZJOJafAoYbUUwAx2Xg/YS/jc&#10;vSxKYCkr1Gr0aCR8mwSb5vqqVpX2M36YaZt7RiWYKiXB5hwqzlNnjVNp6YNB8g4+OpXpjD3XUc1U&#10;7kZeCLHmTg1IH6wKprWmO25PTkL7GorWvu/mWDynt366G8Ph+CXl7c1KPAHL5pz/w/CLT+jQENPe&#10;n1AnNkpYrClIsigfgZFflvcPwPZ/Cm9qfrmg+QFQSwMEFAAAAAgAh07iQOPuMRnXAQAAbwMAAA4A&#10;AABkcnMvZTJvRG9jLnhtbK1TS44TMRDdI3EHy3vSnUwSMq10ZjHRsEEQCThAxe3utuSfXCadXIIL&#10;ILGDFUv23GaGY1B2emb47BBeVNuu51d+z9Xrq6PR7CADKmdrPp2UnEkrXKNsV/N3b2+erTjDCLYB&#10;7ays+Ukiv9o8fbIefCVnrne6kYERicVq8DXvY/RVUaDopQGcOC8tJVsXDERahq5oAgzEbnQxK8tl&#10;MbjQ+OCERKTd7TnJN5m/baWIr9sWZWS65nS3mGPIcZ9isVlD1QXwvRLjNeAfbmFAWSr6QLWFCOx9&#10;UH9RGSWCQ9fGiXCmcG2rhMwaSM20/EPNmx68zFrIHPQPNuH/oxWvDrvAVFPzOWcWDD3R3cdvtx8+&#10;//j+ieLd1y9snkwaPFaEvba7MK7Q70JSfGyDSV/Swo5EM724WC3I6lPNV8v56vnosTxGJii/WM5K&#10;AnAmCJBzxSOHDxhfSGdYmtRcK5vkQwWHlxipLkHvIWnbuhuldX5CbdlQ8xmNRA3USa2GSFPjSRva&#10;jjPQHbWoiCFTotOqSccTEYZuf60DO0Bqk3IxvZwl0VTuN1iqvQXsz7icOjeQUZG6WCtDmss0xtPa&#10;Ekmy7mxWmu1dc8oe5n161Vxm7MDUNr+u8+nH/2TzE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BYAAABkcnMvUEsBAhQAFAAAAAgAh07iQNRH&#10;QNbVAAAACQEAAA8AAAAAAAAAAQAgAAAAOAAAAGRycy9kb3ducmV2LnhtbFBLAQIUABQAAAAIAIdO&#10;4kDj7jEZ1wEAAG8DAAAOAAAAAAAAAAEAIAAAADoBAABkcnMvZTJvRG9jLnhtbFBLBQYAAAAABgAG&#10;AFkBAACDBQAAAAA=&#10;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</w:p>
  <w:p>
    <w:pPr>
      <w:pStyle w:val="5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宋体" w:hAnsi="宋体" w:eastAsia="宋体" w:cs="宋体"/>
        <w:b/>
        <w:bCs/>
        <w:color w:val="005192"/>
        <w:sz w:val="32"/>
        <w:szCs w:val="32"/>
        <w:lang w:val="en-US" w:eastAsia="zh-CN"/>
      </w:rPr>
    </w:pPr>
    <w:r>
      <w:rPr>
        <w:rFonts w:hint="eastAsia" w:ascii="宋体" w:hAnsi="宋体" w:eastAsia="宋体" w:cs="宋体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11430" b="11430"/>
          <wp:docPr id="6" name="图片 6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6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宋体" w:hAnsi="宋体" w:eastAsia="宋体" w:cs="宋体"/>
        <w:b/>
        <w:bCs/>
        <w:color w:val="005192"/>
        <w:sz w:val="32"/>
        <w:szCs w:val="32"/>
        <w:lang w:val="en-US" w:eastAsia="zh-CN"/>
      </w:rPr>
      <w:t>临沧市人民政府行政规范性文件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19E71BD"/>
    <w:rsid w:val="04B679C3"/>
    <w:rsid w:val="04E24ACA"/>
    <w:rsid w:val="080F63D8"/>
    <w:rsid w:val="09341458"/>
    <w:rsid w:val="0B0912D7"/>
    <w:rsid w:val="152D2DCA"/>
    <w:rsid w:val="1DEC284C"/>
    <w:rsid w:val="1E6523AC"/>
    <w:rsid w:val="22440422"/>
    <w:rsid w:val="306D7208"/>
    <w:rsid w:val="31A15F24"/>
    <w:rsid w:val="32DB92FA"/>
    <w:rsid w:val="365FC067"/>
    <w:rsid w:val="395347B5"/>
    <w:rsid w:val="39A232A0"/>
    <w:rsid w:val="39E745AA"/>
    <w:rsid w:val="3B5A6BBB"/>
    <w:rsid w:val="3D77BCD7"/>
    <w:rsid w:val="3DF60717"/>
    <w:rsid w:val="3EDA13A6"/>
    <w:rsid w:val="3F606432"/>
    <w:rsid w:val="42F058B7"/>
    <w:rsid w:val="436109F6"/>
    <w:rsid w:val="441A38D4"/>
    <w:rsid w:val="4BC77339"/>
    <w:rsid w:val="4BFCC76B"/>
    <w:rsid w:val="4C9236C5"/>
    <w:rsid w:val="4FDCBAD5"/>
    <w:rsid w:val="505C172E"/>
    <w:rsid w:val="52F46F0B"/>
    <w:rsid w:val="53D8014D"/>
    <w:rsid w:val="53EA4A0D"/>
    <w:rsid w:val="55E064E0"/>
    <w:rsid w:val="572C6D10"/>
    <w:rsid w:val="5DC34279"/>
    <w:rsid w:val="608816D1"/>
    <w:rsid w:val="60EF4E7F"/>
    <w:rsid w:val="64F5A37E"/>
    <w:rsid w:val="665233C1"/>
    <w:rsid w:val="6AD9688B"/>
    <w:rsid w:val="6D0E3F22"/>
    <w:rsid w:val="6EBF9763"/>
    <w:rsid w:val="77E5E68E"/>
    <w:rsid w:val="7BBA99E5"/>
    <w:rsid w:val="7C9011D9"/>
    <w:rsid w:val="7D3BED4D"/>
    <w:rsid w:val="7DC651C5"/>
    <w:rsid w:val="7FCC2834"/>
    <w:rsid w:val="7FDF7EBC"/>
    <w:rsid w:val="7FEC29CF"/>
    <w:rsid w:val="7FEF7450"/>
    <w:rsid w:val="7FFB59AC"/>
    <w:rsid w:val="9EFF6C4E"/>
    <w:rsid w:val="ADFFD485"/>
    <w:rsid w:val="BAB3FD8B"/>
    <w:rsid w:val="BF6C407A"/>
    <w:rsid w:val="C61F199F"/>
    <w:rsid w:val="DB7417CC"/>
    <w:rsid w:val="DD3A2AB6"/>
    <w:rsid w:val="E2CF4533"/>
    <w:rsid w:val="EF870CDB"/>
    <w:rsid w:val="EFB79348"/>
    <w:rsid w:val="F17D4D85"/>
    <w:rsid w:val="F7FDA507"/>
    <w:rsid w:val="FBDB13C9"/>
    <w:rsid w:val="FEFF5AB4"/>
    <w:rsid w:val="FF6E6511"/>
    <w:rsid w:val="FFF6318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line="576" w:lineRule="auto"/>
      <w:outlineLvl w:val="0"/>
    </w:pPr>
    <w:rPr>
      <w:rFonts w:ascii="Times New Roman" w:hAnsi="Times New Roman" w:eastAsia="宋体" w:cs="Times New Roman"/>
      <w:b/>
      <w:kern w:val="44"/>
      <w:sz w:val="44"/>
      <w:szCs w:val="24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Hyperlink"/>
    <w:basedOn w:val="8"/>
    <w:qFormat/>
    <w:uiPriority w:val="0"/>
    <w:rPr>
      <w:color w:val="0000FF"/>
      <w:u w:val="single"/>
    </w:rPr>
  </w:style>
  <w:style w:type="paragraph" w:customStyle="1" w:styleId="10">
    <w:name w:val="图表目录1"/>
    <w:basedOn w:val="1"/>
    <w:next w:val="1"/>
    <w:qFormat/>
    <w:uiPriority w:val="0"/>
    <w:pPr>
      <w:spacing w:before="100" w:beforeAutospacing="1" w:after="100" w:afterAutospacing="1"/>
      <w:ind w:left="200" w:leftChars="200" w:hanging="200" w:hangingChars="200"/>
    </w:pPr>
    <w:rPr>
      <w:rFonts w:ascii="Times New Roman" w:hAnsi="Times New Roman" w:eastAsia="宋体" w:cs="黑体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3426</Words>
  <Characters>3483</Characters>
  <Lines>1</Lines>
  <Paragraphs>1</Paragraphs>
  <TotalTime>3</TotalTime>
  <ScaleCrop>false</ScaleCrop>
  <LinksUpToDate>false</LinksUpToDate>
  <CharactersWithSpaces>3543</CharactersWithSpaces>
  <Application>WPS Office_11.8.2.10599_F1E327BC-269C-435d-A152-05C5408002CA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2021-09-11T18:41:00Z</dcterms:created>
  <dc:creator>t</dc:creator>
  <cp:lastModifiedBy>kylin</cp:lastModifiedBy>
  <cp:lastPrinted>2021-10-28T19:30:00Z</cp:lastPrinted>
  <dcterms:modified xsi:type="dcterms:W3CDTF">2023-08-20T22:27:49Z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2052-11.8.2.10599</vt:lpwstr>
  </property>
  <property fmtid="{D5CDD505-2E9C-101B-9397-08002B2CF9AE}" pid="3" name="ICV">
    <vt:lpwstr>48C61CB29D3F4D9384F5922CF0F7FFB4</vt:lpwstr>
  </property>
</Properties>
</file>